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A96" w:rsidRPr="00EC30B7" w:rsidRDefault="00D30A96" w:rsidP="00D30A96">
      <w:pPr>
        <w:overflowPunct w:val="0"/>
        <w:autoSpaceDE w:val="0"/>
        <w:autoSpaceDN w:val="0"/>
        <w:adjustRightInd w:val="0"/>
        <w:spacing w:after="0" w:line="240" w:lineRule="auto"/>
        <w:jc w:val="both"/>
        <w:textAlignment w:val="baseline"/>
        <w:rPr>
          <w:rFonts w:ascii="Palatino Linotype" w:eastAsia="Times New Roman" w:hAnsi="Palatino Linotype" w:cs="Times New Roman"/>
          <w:b/>
          <w:color w:val="000000"/>
          <w:lang w:eastAsia="hu-HU"/>
        </w:rPr>
      </w:pPr>
      <w:r>
        <w:rPr>
          <w:rFonts w:ascii="Palatino Linotype" w:eastAsia="Times New Roman" w:hAnsi="Palatino Linotype" w:cs="Times New Roman"/>
          <w:b/>
          <w:color w:val="000000"/>
          <w:lang w:eastAsia="hu-HU"/>
        </w:rPr>
        <w:t xml:space="preserve">HENCIDAI KÖZÖS ÖNKORMÁNYZATI HIVATAL </w:t>
      </w:r>
    </w:p>
    <w:p w:rsidR="00D30A96" w:rsidRPr="00EC30B7" w:rsidRDefault="00D30A96" w:rsidP="00D30A96">
      <w:pPr>
        <w:overflowPunct w:val="0"/>
        <w:autoSpaceDE w:val="0"/>
        <w:autoSpaceDN w:val="0"/>
        <w:adjustRightInd w:val="0"/>
        <w:spacing w:after="0" w:line="240" w:lineRule="auto"/>
        <w:textAlignment w:val="baseline"/>
        <w:rPr>
          <w:rFonts w:ascii="Palatino Linotype" w:eastAsia="Times New Roman" w:hAnsi="Palatino Linotype" w:cs="Times New Roman"/>
          <w:color w:val="000000"/>
          <w:u w:val="single"/>
          <w:lang w:eastAsia="hu-HU"/>
        </w:rPr>
      </w:pPr>
      <w:r>
        <w:rPr>
          <w:rFonts w:ascii="Palatino Linotype" w:eastAsia="Times New Roman" w:hAnsi="Palatino Linotype" w:cs="Times New Roman"/>
          <w:color w:val="000000"/>
          <w:u w:val="single"/>
          <w:lang w:eastAsia="hu-HU"/>
        </w:rPr>
        <w:t>4123 Hencida, Kossuth tér 1. sz.</w:t>
      </w:r>
    </w:p>
    <w:p w:rsidR="00D30A96" w:rsidRPr="00EC30B7" w:rsidRDefault="00D30A96" w:rsidP="00D30A96">
      <w:pPr>
        <w:overflowPunct w:val="0"/>
        <w:autoSpaceDE w:val="0"/>
        <w:autoSpaceDN w:val="0"/>
        <w:adjustRightInd w:val="0"/>
        <w:spacing w:after="0" w:line="240" w:lineRule="auto"/>
        <w:textAlignment w:val="baseline"/>
        <w:rPr>
          <w:rFonts w:ascii="Palatino Linotype" w:eastAsia="Times New Roman" w:hAnsi="Palatino Linotype" w:cs="Times New Roman"/>
          <w:color w:val="000000"/>
          <w:u w:val="single"/>
          <w:lang w:eastAsia="hu-HU"/>
        </w:rPr>
      </w:pPr>
    </w:p>
    <w:p w:rsidR="00D30A96" w:rsidRPr="00EC30B7" w:rsidRDefault="00D30A96" w:rsidP="00D30A96">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D30A96" w:rsidRPr="00EC30B7" w:rsidRDefault="00D30A96" w:rsidP="00D30A96">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D30A96" w:rsidRPr="00EC30B7" w:rsidRDefault="00D30A96" w:rsidP="00D30A96">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r>
        <w:rPr>
          <w:noProof/>
          <w:lang w:eastAsia="hu-HU"/>
        </w:rPr>
        <w:drawing>
          <wp:inline distT="0" distB="0" distL="0" distR="0" wp14:anchorId="2BAB4E83" wp14:editId="65EFB21B">
            <wp:extent cx="1427480" cy="1676400"/>
            <wp:effectExtent l="0" t="0" r="1270" b="0"/>
            <wp:docPr id="2" name="Kép 2" descr="Henc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ncid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7480" cy="1676400"/>
                    </a:xfrm>
                    <a:prstGeom prst="rect">
                      <a:avLst/>
                    </a:prstGeom>
                    <a:noFill/>
                    <a:ln>
                      <a:noFill/>
                    </a:ln>
                  </pic:spPr>
                </pic:pic>
              </a:graphicData>
            </a:graphic>
          </wp:inline>
        </w:drawing>
      </w:r>
    </w:p>
    <w:p w:rsidR="00D30A96" w:rsidRPr="00EC30B7" w:rsidRDefault="00D30A96" w:rsidP="00D30A96">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D30A96" w:rsidRPr="00EC30B7" w:rsidRDefault="00D30A96" w:rsidP="00D30A96">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D30A96" w:rsidRPr="00EC30B7" w:rsidRDefault="00D30A96" w:rsidP="00D30A96">
      <w:pPr>
        <w:overflowPunct w:val="0"/>
        <w:autoSpaceDE w:val="0"/>
        <w:autoSpaceDN w:val="0"/>
        <w:adjustRightInd w:val="0"/>
        <w:spacing w:before="240" w:after="120" w:line="240" w:lineRule="auto"/>
        <w:jc w:val="center"/>
        <w:textAlignment w:val="baseline"/>
        <w:rPr>
          <w:rFonts w:ascii="Palatino Linotype" w:eastAsia="Times New Roman" w:hAnsi="Palatino Linotype" w:cs="Times New Roman"/>
          <w:b/>
          <w:color w:val="000000"/>
          <w:lang w:eastAsia="hu-HU"/>
        </w:rPr>
      </w:pPr>
    </w:p>
    <w:p w:rsidR="00D30A96" w:rsidRPr="00EC30B7" w:rsidRDefault="00D30A96" w:rsidP="00D30A96">
      <w:pPr>
        <w:overflowPunct w:val="0"/>
        <w:autoSpaceDE w:val="0"/>
        <w:autoSpaceDN w:val="0"/>
        <w:adjustRightInd w:val="0"/>
        <w:spacing w:before="120" w:after="0" w:line="240" w:lineRule="auto"/>
        <w:jc w:val="center"/>
        <w:textAlignment w:val="baseline"/>
        <w:rPr>
          <w:rFonts w:ascii="Palatino Linotype" w:eastAsia="Times New Roman" w:hAnsi="Palatino Linotype" w:cs="Times New Roman"/>
          <w:b/>
          <w:color w:val="000000"/>
          <w:lang w:eastAsia="hu-HU"/>
        </w:rPr>
      </w:pPr>
      <w:r>
        <w:rPr>
          <w:rFonts w:ascii="Palatino Linotype" w:eastAsia="Times New Roman" w:hAnsi="Palatino Linotype" w:cs="Times New Roman"/>
          <w:b/>
          <w:color w:val="000000"/>
          <w:lang w:eastAsia="hu-HU"/>
        </w:rPr>
        <w:t xml:space="preserve">HENCIDAI KÖZÖS ÖNKORMÁNYZATI HIVATAL </w:t>
      </w:r>
      <w:r w:rsidRPr="00EC30B7">
        <w:rPr>
          <w:rFonts w:ascii="Palatino Linotype" w:eastAsia="Times New Roman" w:hAnsi="Palatino Linotype" w:cs="Times New Roman"/>
          <w:b/>
          <w:color w:val="000000"/>
          <w:lang w:eastAsia="hu-HU"/>
        </w:rPr>
        <w:t>ÉS A HOZZÁRENDELT, GAZDASÁGI SZERVEZETTEL NEM RENDELKEZŐ KÖLTSÉGVETÉSI SZERVE</w:t>
      </w:r>
      <w:r>
        <w:rPr>
          <w:rFonts w:ascii="Palatino Linotype" w:eastAsia="Times New Roman" w:hAnsi="Palatino Linotype" w:cs="Times New Roman"/>
          <w:b/>
          <w:color w:val="000000"/>
          <w:lang w:eastAsia="hu-HU"/>
        </w:rPr>
        <w:t>I</w:t>
      </w:r>
      <w:r w:rsidRPr="00EC30B7">
        <w:rPr>
          <w:rFonts w:ascii="Palatino Linotype" w:eastAsia="Times New Roman" w:hAnsi="Palatino Linotype" w:cs="Times New Roman"/>
          <w:b/>
          <w:color w:val="000000"/>
          <w:lang w:eastAsia="hu-HU"/>
        </w:rPr>
        <w:t xml:space="preserve"> </w:t>
      </w:r>
    </w:p>
    <w:p w:rsidR="00D30A96" w:rsidRDefault="00D30A96" w:rsidP="00D30A96">
      <w:pPr>
        <w:overflowPunct w:val="0"/>
        <w:autoSpaceDE w:val="0"/>
        <w:autoSpaceDN w:val="0"/>
        <w:adjustRightInd w:val="0"/>
        <w:spacing w:before="120" w:after="0" w:line="240" w:lineRule="auto"/>
        <w:jc w:val="center"/>
        <w:textAlignment w:val="baseline"/>
        <w:rPr>
          <w:rFonts w:ascii="Palatino Linotype" w:eastAsia="Times New Roman" w:hAnsi="Palatino Linotype" w:cs="Times New Roman"/>
          <w:b/>
          <w:color w:val="000000"/>
          <w:lang w:eastAsia="hu-HU"/>
        </w:rPr>
      </w:pPr>
      <w:r>
        <w:rPr>
          <w:rFonts w:ascii="Palatino Linotype" w:eastAsia="Times New Roman" w:hAnsi="Palatino Linotype" w:cs="Times New Roman"/>
          <w:b/>
          <w:color w:val="000000"/>
          <w:lang w:eastAsia="hu-HU"/>
        </w:rPr>
        <w:t>SZÁMVITELI POLITIKÁJA</w:t>
      </w:r>
    </w:p>
    <w:p w:rsidR="00D30A96" w:rsidRPr="00EC30B7" w:rsidRDefault="00D30A96" w:rsidP="00D30A96">
      <w:pPr>
        <w:overflowPunct w:val="0"/>
        <w:autoSpaceDE w:val="0"/>
        <w:autoSpaceDN w:val="0"/>
        <w:adjustRightInd w:val="0"/>
        <w:spacing w:before="120" w:after="0" w:line="240" w:lineRule="auto"/>
        <w:jc w:val="center"/>
        <w:textAlignment w:val="baseline"/>
        <w:rPr>
          <w:rFonts w:ascii="Palatino Linotype" w:eastAsia="Times New Roman" w:hAnsi="Palatino Linotype" w:cs="Times New Roman"/>
          <w:b/>
          <w:color w:val="000000"/>
          <w:lang w:eastAsia="hu-HU"/>
        </w:rPr>
      </w:pPr>
    </w:p>
    <w:p w:rsidR="00D30A96" w:rsidRPr="00EC30B7" w:rsidRDefault="00D30A96" w:rsidP="00D30A96">
      <w:pPr>
        <w:spacing w:after="0"/>
        <w:jc w:val="both"/>
        <w:rPr>
          <w:rFonts w:ascii="Palatino Linotype" w:eastAsia="Times New Roman" w:hAnsi="Palatino Linotype" w:cs="Times New Roman"/>
          <w:b/>
          <w:lang w:eastAsia="hu-HU"/>
        </w:rPr>
      </w:pPr>
    </w:p>
    <w:p w:rsidR="00D30A96" w:rsidRPr="00EC30B7" w:rsidRDefault="00D30A96" w:rsidP="00D30A96">
      <w:pPr>
        <w:rPr>
          <w:rFonts w:ascii="Palatino Linotype" w:eastAsia="Times New Roman" w:hAnsi="Palatino Linotype" w:cs="Times New Roman"/>
          <w:lang w:eastAsia="hu-HU"/>
        </w:rPr>
      </w:pPr>
      <w:r w:rsidRPr="00EC30B7">
        <w:rPr>
          <w:rFonts w:ascii="Palatino Linotype" w:eastAsia="Times New Roman" w:hAnsi="Palatino Linotype" w:cs="Times New Roman"/>
          <w:lang w:eastAsia="hu-HU"/>
        </w:rPr>
        <w:t>A szabályzatot készítette:</w:t>
      </w:r>
    </w:p>
    <w:p w:rsidR="00D30A96" w:rsidRPr="00EC30B7" w:rsidRDefault="00D30A96" w:rsidP="00D30A96">
      <w:pPr>
        <w:spacing w:after="0"/>
        <w:jc w:val="both"/>
        <w:rPr>
          <w:rFonts w:ascii="Palatino Linotype" w:eastAsia="Times New Roman" w:hAnsi="Palatino Linotype" w:cs="Times New Roman"/>
          <w:lang w:eastAsia="hu-HU"/>
        </w:rPr>
      </w:pPr>
    </w:p>
    <w:p w:rsidR="00D30A96" w:rsidRPr="00EC30B7" w:rsidRDefault="00D30A96" w:rsidP="00D30A96">
      <w:pPr>
        <w:spacing w:after="0"/>
        <w:jc w:val="both"/>
        <w:rPr>
          <w:rFonts w:ascii="Palatino Linotype" w:eastAsia="Times New Roman" w:hAnsi="Palatino Linotype" w:cs="Times New Roman"/>
          <w:lang w:eastAsia="hu-HU"/>
        </w:rPr>
      </w:pPr>
    </w:p>
    <w:p w:rsidR="00D30A96" w:rsidRPr="00EC30B7" w:rsidRDefault="00D30A96" w:rsidP="00D30A96">
      <w:pPr>
        <w:tabs>
          <w:tab w:val="center" w:pos="6480"/>
        </w:tabs>
        <w:spacing w:after="0" w:line="240" w:lineRule="auto"/>
        <w:jc w:val="both"/>
        <w:rPr>
          <w:rFonts w:ascii="Palatino Linotype" w:eastAsia="Times New Roman" w:hAnsi="Palatino Linotype" w:cs="Times New Roman"/>
          <w:b/>
          <w:lang w:eastAsia="hu-HU"/>
        </w:rPr>
      </w:pPr>
      <w:r w:rsidRPr="00EC30B7">
        <w:rPr>
          <w:rFonts w:ascii="Palatino Linotype" w:eastAsia="Times New Roman" w:hAnsi="Palatino Linotype" w:cs="Times New Roman"/>
          <w:lang w:eastAsia="hu-HU"/>
        </w:rPr>
        <w:tab/>
      </w:r>
      <w:r w:rsidRPr="00EC30B7">
        <w:rPr>
          <w:rFonts w:ascii="Palatino Linotype" w:eastAsia="Times New Roman" w:hAnsi="Palatino Linotype" w:cs="Times New Roman"/>
          <w:b/>
          <w:lang w:eastAsia="hu-HU"/>
        </w:rPr>
        <w:t>Dr.</w:t>
      </w:r>
      <w:r>
        <w:rPr>
          <w:rFonts w:ascii="Palatino Linotype" w:eastAsia="Times New Roman" w:hAnsi="Palatino Linotype" w:cs="Times New Roman"/>
          <w:b/>
          <w:lang w:eastAsia="hu-HU"/>
        </w:rPr>
        <w:t xml:space="preserve"> Barcsai Sándor </w:t>
      </w:r>
      <w:r w:rsidRPr="00EC30B7">
        <w:rPr>
          <w:rFonts w:ascii="Palatino Linotype" w:eastAsia="Times New Roman" w:hAnsi="Palatino Linotype" w:cs="Times New Roman"/>
          <w:b/>
          <w:lang w:eastAsia="hu-HU"/>
        </w:rPr>
        <w:t xml:space="preserve"> </w:t>
      </w:r>
    </w:p>
    <w:p w:rsidR="00D30A96" w:rsidRPr="00EC30B7" w:rsidRDefault="00D30A96" w:rsidP="00D30A96">
      <w:pPr>
        <w:tabs>
          <w:tab w:val="center" w:pos="6480"/>
        </w:tabs>
        <w:spacing w:after="0" w:line="240" w:lineRule="auto"/>
        <w:jc w:val="both"/>
        <w:rPr>
          <w:rFonts w:ascii="Palatino Linotype" w:eastAsia="Times New Roman" w:hAnsi="Palatino Linotype" w:cs="Times New Roman"/>
          <w:lang w:eastAsia="hu-HU"/>
        </w:rPr>
      </w:pPr>
      <w:r w:rsidRPr="00EC30B7">
        <w:rPr>
          <w:rFonts w:ascii="Palatino Linotype" w:eastAsia="Times New Roman" w:hAnsi="Palatino Linotype" w:cs="Times New Roman"/>
          <w:lang w:eastAsia="hu-HU"/>
        </w:rPr>
        <w:tab/>
      </w:r>
      <w:r>
        <w:rPr>
          <w:rFonts w:ascii="Palatino Linotype" w:eastAsia="Times New Roman" w:hAnsi="Palatino Linotype" w:cs="Times New Roman"/>
          <w:lang w:eastAsia="hu-HU"/>
        </w:rPr>
        <w:t>al</w:t>
      </w:r>
      <w:r w:rsidRPr="00EC30B7">
        <w:rPr>
          <w:rFonts w:ascii="Palatino Linotype" w:eastAsia="Times New Roman" w:hAnsi="Palatino Linotype" w:cs="Times New Roman"/>
          <w:lang w:eastAsia="hu-HU"/>
        </w:rPr>
        <w:t xml:space="preserve">jegyző </w:t>
      </w:r>
    </w:p>
    <w:p w:rsidR="00D30A96" w:rsidRPr="00EC30B7" w:rsidRDefault="00D30A96" w:rsidP="00D30A96">
      <w:pPr>
        <w:spacing w:after="0"/>
        <w:jc w:val="both"/>
        <w:rPr>
          <w:rFonts w:ascii="Palatino Linotype" w:eastAsia="Times New Roman" w:hAnsi="Palatino Linotype" w:cs="Times New Roman"/>
          <w:lang w:eastAsia="hu-HU"/>
        </w:rPr>
      </w:pPr>
    </w:p>
    <w:p w:rsidR="00D30A96" w:rsidRPr="00EC30B7" w:rsidRDefault="00D30A96" w:rsidP="00D30A96">
      <w:pPr>
        <w:spacing w:after="0"/>
        <w:jc w:val="both"/>
        <w:rPr>
          <w:rFonts w:ascii="Palatino Linotype" w:eastAsia="Times New Roman" w:hAnsi="Palatino Linotype" w:cs="Times New Roman"/>
          <w:lang w:eastAsia="hu-HU"/>
        </w:rPr>
      </w:pPr>
    </w:p>
    <w:p w:rsidR="00D30A96" w:rsidRPr="00EC30B7" w:rsidRDefault="00D30A96" w:rsidP="00D30A96">
      <w:pPr>
        <w:spacing w:after="0"/>
        <w:jc w:val="both"/>
        <w:rPr>
          <w:rFonts w:ascii="Palatino Linotype" w:eastAsia="Times New Roman" w:hAnsi="Palatino Linotype" w:cs="Times New Roman"/>
          <w:lang w:eastAsia="hu-HU"/>
        </w:rPr>
      </w:pPr>
    </w:p>
    <w:p w:rsidR="00D30A96" w:rsidRPr="00EC30B7" w:rsidRDefault="00D30A96" w:rsidP="00D30A96">
      <w:pPr>
        <w:spacing w:after="0"/>
        <w:jc w:val="center"/>
        <w:rPr>
          <w:rFonts w:ascii="Palatino Linotype" w:eastAsia="Times New Roman" w:hAnsi="Palatino Linotype" w:cs="Times New Roman"/>
          <w:b/>
          <w:lang w:eastAsia="hu-HU"/>
        </w:rPr>
      </w:pPr>
      <w:r w:rsidRPr="00EC30B7">
        <w:rPr>
          <w:rFonts w:ascii="Palatino Linotype" w:eastAsia="Times New Roman" w:hAnsi="Palatino Linotype" w:cs="Times New Roman"/>
          <w:b/>
          <w:lang w:eastAsia="hu-HU"/>
        </w:rPr>
        <w:t>Hatályos: 201</w:t>
      </w:r>
      <w:r>
        <w:rPr>
          <w:rFonts w:ascii="Palatino Linotype" w:eastAsia="Times New Roman" w:hAnsi="Palatino Linotype" w:cs="Times New Roman"/>
          <w:b/>
          <w:lang w:eastAsia="hu-HU"/>
        </w:rPr>
        <w:t>9</w:t>
      </w:r>
      <w:r w:rsidRPr="00EC30B7">
        <w:rPr>
          <w:rFonts w:ascii="Palatino Linotype" w:eastAsia="Times New Roman" w:hAnsi="Palatino Linotype" w:cs="Times New Roman"/>
          <w:b/>
          <w:lang w:eastAsia="hu-HU"/>
        </w:rPr>
        <w:t>. aug</w:t>
      </w:r>
      <w:bookmarkStart w:id="0" w:name="_GoBack"/>
      <w:bookmarkEnd w:id="0"/>
      <w:r w:rsidRPr="00EC30B7">
        <w:rPr>
          <w:rFonts w:ascii="Palatino Linotype" w:eastAsia="Times New Roman" w:hAnsi="Palatino Linotype" w:cs="Times New Roman"/>
          <w:b/>
          <w:lang w:eastAsia="hu-HU"/>
        </w:rPr>
        <w:t>usztus 1-jétől</w:t>
      </w:r>
    </w:p>
    <w:p w:rsidR="00D30A96" w:rsidRPr="00D30A96" w:rsidRDefault="00D30A96" w:rsidP="00D30A96">
      <w:pPr>
        <w:keepNext/>
        <w:keepLines/>
        <w:spacing w:after="0" w:line="240" w:lineRule="auto"/>
        <w:rPr>
          <w:rFonts w:ascii="Palatino Linotype" w:eastAsia="Times New Roman" w:hAnsi="Palatino Linotype" w:cs="Arial"/>
          <w:b/>
          <w:lang w:eastAsia="hu-HU"/>
        </w:rPr>
      </w:pPr>
    </w:p>
    <w:p w:rsidR="00D30A96" w:rsidRPr="00D30A96" w:rsidRDefault="00D30A96" w:rsidP="00D30A96">
      <w:pPr>
        <w:spacing w:after="160" w:line="256" w:lineRule="auto"/>
        <w:jc w:val="center"/>
        <w:rPr>
          <w:rFonts w:ascii="Palatino Linotype" w:eastAsia="Times New Roman" w:hAnsi="Palatino Linotype" w:cs="Times New Roman"/>
          <w:b/>
          <w:sz w:val="24"/>
          <w:lang w:eastAsia="hu-HU"/>
        </w:rPr>
      </w:pPr>
    </w:p>
    <w:p w:rsidR="00D30A96" w:rsidRDefault="00D30A96" w:rsidP="00D30A96">
      <w:pPr>
        <w:spacing w:after="160" w:line="256" w:lineRule="auto"/>
        <w:jc w:val="center"/>
        <w:rPr>
          <w:rFonts w:ascii="Palatino Linotype" w:eastAsia="Times New Roman" w:hAnsi="Palatino Linotype" w:cs="Times New Roman"/>
          <w:b/>
          <w:sz w:val="24"/>
          <w:lang w:eastAsia="hu-HU"/>
        </w:rPr>
      </w:pPr>
    </w:p>
    <w:p w:rsidR="00D30A96" w:rsidRDefault="00D30A96" w:rsidP="00D30A96">
      <w:pPr>
        <w:spacing w:after="160" w:line="256" w:lineRule="auto"/>
        <w:jc w:val="center"/>
        <w:rPr>
          <w:rFonts w:ascii="Palatino Linotype" w:eastAsia="Times New Roman" w:hAnsi="Palatino Linotype" w:cs="Times New Roman"/>
          <w:b/>
          <w:sz w:val="24"/>
          <w:lang w:eastAsia="hu-HU"/>
        </w:rPr>
      </w:pPr>
    </w:p>
    <w:p w:rsidR="00D30A96" w:rsidRDefault="00D30A96" w:rsidP="00D30A96">
      <w:pPr>
        <w:spacing w:after="0" w:line="240" w:lineRule="auto"/>
        <w:jc w:val="both"/>
        <w:rPr>
          <w:rFonts w:ascii="Palatino Linotype" w:eastAsia="Times New Roman" w:hAnsi="Palatino Linotype" w:cs="Times New Roman"/>
          <w:b/>
          <w:sz w:val="24"/>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lastRenderedPageBreak/>
        <w:t>Bevezető</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szerveknek a számvitelről szóló 2000. évi C. törvény (a továbbiakban: Szt.) 14. § (4) és (5) bekezdéseiben és az államháztartás számviteléről szóló 4/2013. (I. 11.) Korm. rendelet (a továbbiakban: Áhsz.) 50. § (1) és (7) bekezdéseiben foglaltak szerint el kell készíteniük a Számviteli Politikájukat.</w:t>
      </w: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jelen szabályzatban bemutatásra kerül a költségvetési szerv által választható számviteli stratégia.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1"/>
        </w:numPr>
        <w:spacing w:after="0" w:line="240" w:lineRule="auto"/>
        <w:ind w:left="567" w:hanging="567"/>
        <w:contextualSpacing/>
        <w:jc w:val="both"/>
        <w:outlineLvl w:val="0"/>
        <w:rPr>
          <w:rFonts w:ascii="Palatino Linotype" w:eastAsia="Times New Roman" w:hAnsi="Palatino Linotype" w:cs="Times New Roman"/>
          <w:b/>
          <w:lang w:eastAsia="hu-HU"/>
        </w:rPr>
      </w:pPr>
      <w:bookmarkStart w:id="1" w:name="_Toc381619483"/>
      <w:bookmarkStart w:id="2" w:name="_Toc379985234"/>
      <w:r w:rsidRPr="00D30A96">
        <w:rPr>
          <w:rFonts w:ascii="Palatino Linotype" w:eastAsia="Times New Roman" w:hAnsi="Palatino Linotype" w:cs="Times New Roman"/>
          <w:b/>
          <w:lang w:eastAsia="hu-HU"/>
        </w:rPr>
        <w:t>Általános rész</w:t>
      </w:r>
      <w:bookmarkEnd w:id="1"/>
      <w:bookmarkEnd w:id="2"/>
    </w:p>
    <w:p w:rsidR="00D30A96" w:rsidRPr="00D30A96" w:rsidRDefault="00D30A96" w:rsidP="00D30A96">
      <w:pPr>
        <w:numPr>
          <w:ilvl w:val="0"/>
          <w:numId w:val="2"/>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3" w:name="_Toc381619484"/>
      <w:r w:rsidRPr="00D30A96">
        <w:rPr>
          <w:rFonts w:ascii="Palatino Linotype" w:eastAsia="Times New Roman" w:hAnsi="Palatino Linotype" w:cs="Times New Roman"/>
          <w:b/>
          <w:lang w:eastAsia="hu-HU"/>
        </w:rPr>
        <w:t>A Számviteli Politika célja</w:t>
      </w:r>
      <w:bookmarkEnd w:id="3"/>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spacing w:val="-2"/>
          <w:lang w:eastAsia="hu-HU"/>
        </w:rPr>
      </w:pPr>
      <w:r w:rsidRPr="00D30A96">
        <w:rPr>
          <w:rFonts w:ascii="Palatino Linotype" w:eastAsia="Times New Roman" w:hAnsi="Palatino Linotype" w:cs="Times New Roman"/>
          <w:bCs/>
          <w:color w:val="000000"/>
          <w:spacing w:val="-2"/>
          <w:lang w:eastAsia="hu-HU"/>
        </w:rPr>
        <w:t>A Számviteli Politika célja</w:t>
      </w:r>
      <w:r w:rsidRPr="00D30A96">
        <w:rPr>
          <w:rFonts w:ascii="Palatino Linotype" w:eastAsia="Times New Roman" w:hAnsi="Palatino Linotype" w:cs="Times New Roman"/>
          <w:color w:val="000000"/>
          <w:spacing w:val="-2"/>
          <w:lang w:eastAsia="hu-HU"/>
        </w:rPr>
        <w:t>, hogy a költségvetési szernél olyan számviteli rendszer (könyvvezetési és az azt alátámasztó bizonylati rendszer) kerüljön kialakításra, amely alapján összeállított éves költségvetési beszámoló megbízható és valós képet nyújt a gazdálkodásról, illetve a vagyoni, pénzügyi, jövedelmi helyzetről, és ez feleljen meg mind az Szt., mind az Áhsz., illetve egyéb jogszabályi előírásoknak.</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spacing w:val="-2"/>
          <w:lang w:eastAsia="hu-HU"/>
        </w:rPr>
      </w:pPr>
      <w:r w:rsidRPr="00D30A96">
        <w:rPr>
          <w:rFonts w:ascii="Palatino Linotype" w:eastAsia="Times New Roman" w:hAnsi="Palatino Linotype" w:cs="Times New Roman"/>
          <w:color w:val="000000"/>
          <w:spacing w:val="-2"/>
          <w:lang w:eastAsia="hu-HU"/>
        </w:rPr>
        <w:t>A Számviteli Politikában a költségvetési szervnek meg kell határoznia az alkalmazott számviteli rendszer szabályait, működtetésének rendjét, amely alapján a költségvetési szerv össze tudja állítani vagyoni, pénzügyi, jövedelmi helyzetéről a megbízható és valós képet bemutató éves költségvetési beszámolót. A Számviteli Politika hozzájárul és megalapozza a költségvetési szerv vezetéséhez, a megfelelő információk előállításához szükséges belső szabályozási rendet, megfogalmazza azokat az elvárásokat, módszereket, megoldásokat, amelyekre a költségvetési szervnek az adott jogszabályi keretek között lehetősége van.</w:t>
      </w:r>
    </w:p>
    <w:p w:rsidR="00D30A96" w:rsidRPr="00D30A96" w:rsidRDefault="00D30A96" w:rsidP="00D30A96">
      <w:pPr>
        <w:spacing w:after="0" w:line="240" w:lineRule="auto"/>
        <w:contextualSpacing/>
        <w:jc w:val="both"/>
        <w:rPr>
          <w:rFonts w:ascii="Palatino Linotype" w:eastAsia="Times New Roman" w:hAnsi="Palatino Linotype" w:cs="Times New Roman"/>
          <w:lang w:eastAsia="hu-HU"/>
        </w:rPr>
      </w:pPr>
    </w:p>
    <w:p w:rsidR="00D30A96" w:rsidRPr="00D30A96" w:rsidRDefault="00D30A96" w:rsidP="00D30A96">
      <w:pPr>
        <w:numPr>
          <w:ilvl w:val="0"/>
          <w:numId w:val="2"/>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4" w:name="_Toc381619485"/>
      <w:bookmarkStart w:id="5" w:name="_Toc379985236"/>
      <w:r w:rsidRPr="00D30A96">
        <w:rPr>
          <w:rFonts w:ascii="Palatino Linotype" w:eastAsia="Times New Roman" w:hAnsi="Palatino Linotype" w:cs="Times New Roman"/>
          <w:b/>
          <w:lang w:eastAsia="hu-HU"/>
        </w:rPr>
        <w:t>A Számviteli Politika elkészítéséért felelős személyek meghatározása</w:t>
      </w:r>
      <w:bookmarkEnd w:id="4"/>
      <w:bookmarkEnd w:id="5"/>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bookmarkStart w:id="6" w:name="_Toc379985237"/>
      <w:r w:rsidRPr="00D30A96">
        <w:rPr>
          <w:rFonts w:ascii="Palatino Linotype" w:eastAsia="Times New Roman" w:hAnsi="Palatino Linotype" w:cs="Times New Roman"/>
          <w:lang w:eastAsia="hu-HU"/>
        </w:rPr>
        <w:t>A Számviteli Politika kialakításáért, végrehajtásáért a költségvetési szerv vezetője a felelős. Ez a felelősség azonban nem mentesíti a költségvetési szerv gazdasági szervezetének vezetőjét a Számviteli Politikával kapcsolatos feladatellátási kötelezettség alól. Az Szt. a számviteli szolgáltatás körébe sorolta – többek között – a Számviteli Politika összeállításának, a számviteli rend kialakításának feladatait.</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számviteli szolgáltatás körébe tartozó feladatok irányítása, vezetése meghatározott pénzügyi-számviteli szakképesítéshez kötött, így tehát elkerülhetetlen a gazdasági szervezet vezetőjének ebben a tárgykörben kifejtett tevékenysége.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Számviteli Politikát nem elegendő csak összeállítani, annak bevezetéséről, a gyakorlatban történő megvalósulásáról is gondoskodni kell.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Ezek a feladatok a gazdasági szervezet feladat-, illetve hatáskörébe tartoznak, ahol a Számviteli Politika gyakorlati megvalósítása együttes munkával kell, hogy végrehajtásra kerüljön.</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költségvetési szerv vezetőjének a Számviteli Politikával kapcsolatosan a felelősségi jogköréből adódóan kettős feladatot kell ellátnia:</w:t>
      </w:r>
    </w:p>
    <w:p w:rsidR="00D30A96" w:rsidRPr="00D30A96" w:rsidRDefault="00D30A96" w:rsidP="00D30A96">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biztosítania kell a gazdasági szervezet által kidolgozott eljárások gyakorlati megvalósítását a költségvetési szerv más egységeinél,</w:t>
      </w:r>
    </w:p>
    <w:p w:rsidR="00D30A96" w:rsidRPr="00D30A96" w:rsidRDefault="00D30A96" w:rsidP="00D30A96">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vezetői ellenőrzés keretében a Számviteli Politika kialakítását és gyakorlati érvényesülését kell vizsgálnia.</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2"/>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7" w:name="_Toc381619486"/>
      <w:bookmarkEnd w:id="6"/>
      <w:r w:rsidRPr="00D30A96">
        <w:rPr>
          <w:rFonts w:ascii="Palatino Linotype" w:eastAsia="Times New Roman" w:hAnsi="Palatino Linotype" w:cs="Times New Roman"/>
          <w:b/>
          <w:lang w:eastAsia="hu-HU"/>
        </w:rPr>
        <w:t>A Számviteli Politikával szembeni követelmények</w:t>
      </w:r>
      <w:bookmarkEnd w:id="7"/>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lastRenderedPageBreak/>
        <w:t>A Számviteli Politika az Szt.-ben rögzített alapelvek, értékelési előírások alapján került kidolgozásra.</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Számviteli Politika úgy került kialakításra, hogy az a költségvetési szerv adottságaihoz, körülményeihez, sajátosságaihoz a legjobban illeszkedjen.</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Számviteli Politikát mindig írásba kell foglalni.</w:t>
      </w:r>
    </w:p>
    <w:p w:rsidR="00D30A96" w:rsidRPr="00D30A96" w:rsidRDefault="00D30A96" w:rsidP="00D30A96">
      <w:pPr>
        <w:spacing w:after="0" w:line="240" w:lineRule="auto"/>
        <w:contextualSpacing/>
        <w:jc w:val="both"/>
        <w:rPr>
          <w:rFonts w:ascii="Palatino Linotype" w:eastAsia="Times New Roman" w:hAnsi="Palatino Linotype" w:cs="Times New Roman"/>
          <w:lang w:eastAsia="hu-HU"/>
        </w:rPr>
      </w:pPr>
    </w:p>
    <w:p w:rsidR="00D30A96" w:rsidRDefault="00D30A96" w:rsidP="00D30A96">
      <w:pPr>
        <w:numPr>
          <w:ilvl w:val="0"/>
          <w:numId w:val="2"/>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8" w:name="_Toc381619487"/>
      <w:r w:rsidRPr="00D30A96">
        <w:rPr>
          <w:rFonts w:ascii="Palatino Linotype" w:eastAsia="Times New Roman" w:hAnsi="Palatino Linotype" w:cs="Times New Roman"/>
          <w:b/>
          <w:lang w:eastAsia="hu-HU"/>
        </w:rPr>
        <w:t>A Számviteli Politikára vonatkozó jogszabályi előírások</w:t>
      </w:r>
      <w:bookmarkEnd w:id="8"/>
    </w:p>
    <w:p w:rsidR="00903E48" w:rsidRDefault="00903E48" w:rsidP="00903E48">
      <w:pPr>
        <w:spacing w:after="0" w:line="240" w:lineRule="auto"/>
        <w:ind w:left="1134"/>
        <w:contextualSpacing/>
        <w:jc w:val="both"/>
        <w:outlineLvl w:val="1"/>
        <w:rPr>
          <w:rFonts w:ascii="Palatino Linotype" w:eastAsia="Times New Roman" w:hAnsi="Palatino Linotype" w:cs="Times New Roman"/>
          <w:b/>
          <w:lang w:eastAsia="hu-HU"/>
        </w:rPr>
      </w:pPr>
    </w:p>
    <w:p w:rsidR="00AE24DE" w:rsidRPr="00D30A96" w:rsidRDefault="00AE24DE" w:rsidP="00AE24DE">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szerveknek a Számviteli Politikájuk összeállításánál elsődlegesen az Áhsz. 50. § (1) és (7) bekezdéseiben foglaltakat kell figyelembe venniük.</w:t>
      </w:r>
    </w:p>
    <w:p w:rsidR="00AE24DE" w:rsidRPr="00D30A96" w:rsidRDefault="00AE24DE" w:rsidP="00AE24DE">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Ennek megfelelően a Számviteli Politikában a költségvetési és pénzügyi számvitel alkalmazásával kapcsolatos sajátos szabályokat, előírásokat, módszereket kell rögzíteni. A Számviteli Politikában rögzíteni kell az általános költségek tevékenységekre és az általános kiadások kormányzati funkciókra történő felosztásának módját, a felosztáshoz alkalmazott mutatókat, vetítési alapokat.</w:t>
      </w:r>
    </w:p>
    <w:p w:rsidR="00AE24DE" w:rsidRPr="00D30A96" w:rsidRDefault="00AE24DE" w:rsidP="00AE24DE">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Szt. 14. § (3) és (4) bekezdéseiben foglaltak szerint a költségvetési szerveknek a Számviteli Politikában rögzíteniük kell azokat az adott költségvetési szervre jellemző szabályokat, előírásokat, módszereket, amelyekkel meghatározza, hogy mit tekint a számviteli elszámolás az értékelés szempontjából lényegesnek, jelentősnek, nem lényegesnek, nem jelentősnek, kivételes nagyságú vagy előfordulású bevételnek, költségnek, ráfordításnak.</w:t>
      </w:r>
    </w:p>
    <w:p w:rsidR="00AE24DE" w:rsidRDefault="00AE24DE" w:rsidP="00AE24DE">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Számviteli Politikában kell meghatározni, hogy az Szt.-ben biztosított választási, minősítési lehetőségek közül melyeket, milyen feltételek fennállása esetén alkalmazza, és ezt a gyakorlatot milyen okok miatt kell megváltoztatnia.</w:t>
      </w:r>
    </w:p>
    <w:p w:rsidR="00AE24DE" w:rsidRDefault="00AE24DE" w:rsidP="00AE24DE">
      <w:pPr>
        <w:autoSpaceDE w:val="0"/>
        <w:autoSpaceDN w:val="0"/>
        <w:adjustRightInd w:val="0"/>
        <w:spacing w:after="0" w:line="240" w:lineRule="auto"/>
        <w:jc w:val="both"/>
        <w:rPr>
          <w:rFonts w:ascii="Palatino Linotype" w:eastAsia="Times New Roman" w:hAnsi="Palatino Linotype" w:cs="Times New Roman"/>
          <w:lang w:eastAsia="hu-HU"/>
        </w:rPr>
      </w:pPr>
    </w:p>
    <w:p w:rsidR="00AE24DE" w:rsidRDefault="00AE24DE" w:rsidP="00903E48">
      <w:pPr>
        <w:spacing w:after="0" w:line="240" w:lineRule="auto"/>
        <w:ind w:left="1134"/>
        <w:contextualSpacing/>
        <w:jc w:val="both"/>
        <w:outlineLvl w:val="1"/>
        <w:rPr>
          <w:rFonts w:ascii="Palatino Linotype" w:eastAsia="Times New Roman" w:hAnsi="Palatino Linotype" w:cs="Times New Roman"/>
          <w:b/>
          <w:lang w:eastAsia="hu-HU"/>
        </w:rPr>
      </w:pPr>
    </w:p>
    <w:p w:rsidR="00AE24DE" w:rsidRDefault="00AE24DE" w:rsidP="00D30A96">
      <w:pPr>
        <w:numPr>
          <w:ilvl w:val="0"/>
          <w:numId w:val="2"/>
        </w:numPr>
        <w:spacing w:after="0" w:line="240" w:lineRule="auto"/>
        <w:ind w:left="1134" w:hanging="567"/>
        <w:contextualSpacing/>
        <w:jc w:val="both"/>
        <w:outlineLvl w:val="1"/>
        <w:rPr>
          <w:rFonts w:ascii="Palatino Linotype" w:eastAsia="Times New Roman" w:hAnsi="Palatino Linotype" w:cs="Times New Roman"/>
          <w:b/>
          <w:lang w:eastAsia="hu-HU"/>
        </w:rPr>
      </w:pPr>
      <w:r>
        <w:rPr>
          <w:rFonts w:ascii="Palatino Linotype" w:eastAsia="Times New Roman" w:hAnsi="Palatino Linotype" w:cs="Times New Roman"/>
          <w:b/>
          <w:lang w:eastAsia="hu-HU"/>
        </w:rPr>
        <w:t>A Számviteli Politika hatálya</w:t>
      </w:r>
    </w:p>
    <w:p w:rsidR="00AE24DE" w:rsidRDefault="00AE24DE" w:rsidP="00AE24DE">
      <w:pPr>
        <w:spacing w:after="0" w:line="240" w:lineRule="auto"/>
        <w:contextualSpacing/>
        <w:jc w:val="both"/>
        <w:outlineLvl w:val="1"/>
        <w:rPr>
          <w:rFonts w:ascii="Palatino Linotype" w:eastAsia="Times New Roman" w:hAnsi="Palatino Linotype" w:cs="Times New Roman"/>
          <w:lang w:eastAsia="hu-HU"/>
        </w:rPr>
      </w:pPr>
    </w:p>
    <w:p w:rsidR="00AE24DE" w:rsidRDefault="00AE24DE" w:rsidP="00D30A96">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Pr>
          <w:rFonts w:ascii="Palatino Linotype" w:eastAsia="Times New Roman" w:hAnsi="Palatino Linotype" w:cs="Times New Roman"/>
          <w:lang w:eastAsia="hu-HU"/>
        </w:rPr>
        <w:t>Hencida Község Önkormányzata</w:t>
      </w:r>
    </w:p>
    <w:p w:rsidR="00AE24DE" w:rsidRDefault="00AE24DE" w:rsidP="00D30A96">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Pr>
          <w:rFonts w:ascii="Palatino Linotype" w:eastAsia="Times New Roman" w:hAnsi="Palatino Linotype" w:cs="Times New Roman"/>
          <w:lang w:eastAsia="hu-HU"/>
        </w:rPr>
        <w:t>Hencidai Közös Önkormányzati Hivatal</w:t>
      </w:r>
    </w:p>
    <w:p w:rsidR="00AE24DE" w:rsidRDefault="00AE24DE" w:rsidP="00D30A96">
      <w:pPr>
        <w:numPr>
          <w:ilvl w:val="0"/>
          <w:numId w:val="3"/>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Pr>
          <w:rFonts w:ascii="Palatino Linotype" w:eastAsia="Times New Roman" w:hAnsi="Palatino Linotype" w:cs="Times New Roman"/>
          <w:lang w:eastAsia="hu-HU"/>
        </w:rPr>
        <w:t>Hencidai Napközi Otthonos Óvoda és Konyha</w:t>
      </w:r>
    </w:p>
    <w:p w:rsidR="00AE24DE" w:rsidRDefault="00AE24DE" w:rsidP="00AE24DE">
      <w:pPr>
        <w:autoSpaceDE w:val="0"/>
        <w:autoSpaceDN w:val="0"/>
        <w:adjustRightInd w:val="0"/>
        <w:spacing w:after="0" w:line="240" w:lineRule="auto"/>
        <w:ind w:left="1418"/>
        <w:jc w:val="both"/>
        <w:rPr>
          <w:rFonts w:ascii="Palatino Linotype" w:eastAsia="Times New Roman" w:hAnsi="Palatino Linotype" w:cs="Times New Roman"/>
          <w:lang w:eastAsia="hu-HU"/>
        </w:rPr>
      </w:pPr>
    </w:p>
    <w:p w:rsidR="00903E48" w:rsidRPr="00903E48" w:rsidRDefault="00903E48" w:rsidP="00903E48">
      <w:pPr>
        <w:pStyle w:val="Listaszerbekezds"/>
        <w:autoSpaceDE w:val="0"/>
        <w:autoSpaceDN w:val="0"/>
        <w:adjustRightInd w:val="0"/>
        <w:jc w:val="both"/>
        <w:rPr>
          <w:rFonts w:ascii="Palatino Linotype" w:hAnsi="Palatino Linotype"/>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1"/>
        </w:numPr>
        <w:spacing w:after="0" w:line="240" w:lineRule="auto"/>
        <w:ind w:left="567" w:hanging="567"/>
        <w:contextualSpacing/>
        <w:jc w:val="both"/>
        <w:outlineLvl w:val="0"/>
        <w:rPr>
          <w:rFonts w:ascii="Palatino Linotype" w:eastAsia="Times New Roman" w:hAnsi="Palatino Linotype" w:cs="Times New Roman"/>
          <w:b/>
          <w:lang w:eastAsia="hu-HU"/>
        </w:rPr>
      </w:pPr>
      <w:bookmarkStart w:id="9" w:name="_Toc381619488"/>
      <w:r w:rsidRPr="00D30A96">
        <w:rPr>
          <w:rFonts w:ascii="Palatino Linotype" w:eastAsia="Times New Roman" w:hAnsi="Palatino Linotype" w:cs="Times New Roman"/>
          <w:b/>
          <w:lang w:eastAsia="hu-HU"/>
        </w:rPr>
        <w:t>A Számviteli Politika részletes szabályai</w:t>
      </w:r>
      <w:bookmarkEnd w:id="9"/>
    </w:p>
    <w:p w:rsidR="00D30A96" w:rsidRPr="00250E76" w:rsidRDefault="00D30A96" w:rsidP="00D30A96">
      <w:pPr>
        <w:numPr>
          <w:ilvl w:val="0"/>
          <w:numId w:val="4"/>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10" w:name="_Toc381619489"/>
      <w:r w:rsidRPr="00250E76">
        <w:rPr>
          <w:rFonts w:ascii="Palatino Linotype" w:eastAsia="Times New Roman" w:hAnsi="Palatino Linotype" w:cs="Times New Roman"/>
          <w:b/>
          <w:lang w:eastAsia="hu-HU"/>
        </w:rPr>
        <w:t>A költségvetési szerv bemutatása</w:t>
      </w:r>
      <w:bookmarkEnd w:id="10"/>
    </w:p>
    <w:p w:rsidR="00D30A96" w:rsidRPr="00250E76" w:rsidRDefault="00D30A96" w:rsidP="00D30A96">
      <w:pPr>
        <w:spacing w:after="0" w:line="240" w:lineRule="auto"/>
        <w:jc w:val="both"/>
        <w:outlineLvl w:val="1"/>
        <w:rPr>
          <w:rFonts w:ascii="Palatino Linotype" w:eastAsia="Times New Roman" w:hAnsi="Palatino Linotype" w:cs="Times New Roman"/>
          <w:b/>
          <w:lang w:eastAsia="hu-HU"/>
        </w:rPr>
      </w:pPr>
      <w:r w:rsidRPr="00250E76">
        <w:rPr>
          <w:rFonts w:ascii="Palatino Linotype" w:eastAsia="Times New Roman" w:hAnsi="Palatino Linotype" w:cs="Times New Roman"/>
          <w:b/>
          <w:lang w:eastAsia="hu-HU"/>
        </w:rPr>
        <w:t>Magyarország helyi önkormányzatairól szóló 2011. évi CLXXXIX. törvény 13. §-ában foglaltak szerint:</w:t>
      </w:r>
    </w:p>
    <w:p w:rsidR="00D30A96" w:rsidRPr="00D30A96" w:rsidRDefault="00D30A96" w:rsidP="00D30A96">
      <w:pPr>
        <w:shd w:val="clear" w:color="auto" w:fill="FFFFFF"/>
        <w:spacing w:after="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helyi közügyek, valamint a helyben biztosítható közfeladatok körében ellátandó helyi önkormányzati feladatok különösen:</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településfejlesztés, településrendezés;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 xml:space="preserve">településüzemeltetés (köztemetők kialakítása és fenntartása, a közvilágításról való gondoskodás, kéményseprő-ipari szolgáltatás biztosítása, a helyi közutak és tartozékainak </w:t>
      </w:r>
      <w:r w:rsidRPr="00D30A96">
        <w:rPr>
          <w:rFonts w:ascii="Palatino Linotype" w:eastAsia="Times New Roman" w:hAnsi="Palatino Linotype" w:cs="Arial"/>
          <w:sz w:val="18"/>
          <w:szCs w:val="18"/>
          <w:lang w:eastAsia="hu-HU"/>
        </w:rPr>
        <w:lastRenderedPageBreak/>
        <w:t>kialakítása és fenntartása, közparkok és egyéb közterületek kialakítása és fenntartása, gépjárművek parkolásának biztosítása);</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a közterületek, valamint az önkormányzat tulajdonában álló közintézmény elnevezése;</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egészségügyi alapellátás, az egészséges életmód segítését célzó szolgáltatások;</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környezet-egészségügy (köztisztaság, települési környezet tisztaságának biztosítása, rovar- és rágcsálóirtás);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óvodai ellátás;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kulturális szolgáltatás, különösen a nyilvános könyvtári ellátás biztosítása; filmszínház, előadó-művészeti szervezet támogatása, a kulturális örökség helyi védelme; a helyi közművelődési tevékenység támogatása;</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 xml:space="preserve"> gyermekjóléti szolgáltatások és ellátások;</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 xml:space="preserve"> szociális szolgáltatások és ellátások, amelyek keretében települési támogatás állapítható meg;</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lakás- és helyiséggazdálkodás;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a területén hajléktalanná vált személyek ellátásának és rehabilitációjának, valamint a hajléktalanná válás megelőzésének biztosítása;</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helyi környezet- és természetvédelem, vízgazdálkodás, vízkárelhárítás;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honvédelem, polgári védelem, katasztrófavédelem, helyi közfoglalkoztatás;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helyi adóval, gazdaságszervezéssel és a turizmussal kapcsolatos feladatok;</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a kistermelők, őstermelők számára - jogszabályban meghatározott termékeik - értékesítési lehetőségeinek biztosítása, ideértve a hétvégi árusítás lehetőségét is;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sport, ifjúsági ügyek;</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nemzetiségi ügyek;</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közreműködés a település közbiztonságának biztosításában;</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helyi közösségi közlekedés biztosítása;</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hulladékgazdálkodás;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távhőszolgáltatás;</w:t>
      </w:r>
    </w:p>
    <w:p w:rsidR="00D30A96" w:rsidRPr="00D30A96" w:rsidRDefault="00D30A96" w:rsidP="00D30A96">
      <w:pPr>
        <w:numPr>
          <w:ilvl w:val="1"/>
          <w:numId w:val="15"/>
        </w:numPr>
        <w:shd w:val="clear" w:color="auto" w:fill="FFFFFF"/>
        <w:spacing w:after="0" w:line="240" w:lineRule="auto"/>
        <w:contextualSpacing/>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víziközmű-szolgáltatás, amennyiben a víziközmű-szolgáltatásról szóló törvény rendelkezései szerint a helyi önkormányzat ellátásért felelősnek minősül.</w:t>
      </w:r>
    </w:p>
    <w:p w:rsidR="00D30A96" w:rsidRPr="00D30A96" w:rsidRDefault="00D30A96" w:rsidP="00D30A96">
      <w:pPr>
        <w:shd w:val="clear" w:color="auto" w:fill="FFFFFF"/>
        <w:spacing w:after="0" w:line="240" w:lineRule="auto"/>
        <w:jc w:val="both"/>
        <w:rPr>
          <w:rFonts w:ascii="Palatino Linotype" w:eastAsia="Times New Roman" w:hAnsi="Palatino Linotype" w:cs="Arial"/>
          <w:sz w:val="18"/>
          <w:szCs w:val="18"/>
          <w:lang w:eastAsia="hu-HU"/>
        </w:rPr>
      </w:pPr>
    </w:p>
    <w:p w:rsidR="00D30A96" w:rsidRPr="00D30A96" w:rsidRDefault="00D30A96" w:rsidP="00D30A96">
      <w:pPr>
        <w:shd w:val="clear" w:color="auto" w:fill="FFFFFF"/>
        <w:spacing w:after="0" w:line="240" w:lineRule="auto"/>
        <w:jc w:val="both"/>
        <w:rPr>
          <w:rFonts w:ascii="Palatino Linotype" w:eastAsia="Times New Roman" w:hAnsi="Palatino Linotype" w:cs="Arial"/>
          <w:sz w:val="18"/>
          <w:szCs w:val="18"/>
          <w:lang w:eastAsia="hu-HU"/>
        </w:rPr>
      </w:pPr>
      <w:r w:rsidRPr="00D30A96">
        <w:rPr>
          <w:rFonts w:ascii="Palatino Linotype" w:eastAsia="Times New Roman" w:hAnsi="Palatino Linotype" w:cs="Arial"/>
          <w:sz w:val="18"/>
          <w:szCs w:val="18"/>
          <w:lang w:eastAsia="hu-HU"/>
        </w:rPr>
        <w:t>A hivatkozott 13. § (2) bekezdés értelmében a törvény a helyi közügyek, valamint a helyben biztosítható közfeladatok körében ellátandó más helyi önkormányzati feladatot is megállapíthat.</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p>
    <w:p w:rsidR="00D30A96" w:rsidRPr="00903E48" w:rsidRDefault="00250E7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 xml:space="preserve">Hencida </w:t>
      </w:r>
      <w:r w:rsidR="00D30A96" w:rsidRPr="00903E48">
        <w:rPr>
          <w:rFonts w:ascii="Palatino Linotype" w:eastAsia="Times New Roman" w:hAnsi="Palatino Linotype" w:cs="Times New Roman"/>
          <w:b/>
          <w:lang w:eastAsia="hu-HU"/>
        </w:rPr>
        <w:t xml:space="preserve">Községi Önkormányzat székhelye: </w:t>
      </w:r>
      <w:r w:rsidRPr="00903E48">
        <w:rPr>
          <w:rFonts w:ascii="Palatino Linotype" w:eastAsia="Times New Roman" w:hAnsi="Palatino Linotype" w:cs="Times New Roman"/>
          <w:b/>
          <w:lang w:eastAsia="hu-HU"/>
        </w:rPr>
        <w:t xml:space="preserve">Hencida, Kossuth tér 1. sz. </w:t>
      </w:r>
      <w:r w:rsidR="00D30A96" w:rsidRPr="00903E48">
        <w:rPr>
          <w:rFonts w:ascii="Palatino Linotype" w:eastAsia="Times New Roman" w:hAnsi="Palatino Linotype" w:cs="Times New Roman"/>
          <w:b/>
          <w:lang w:eastAsia="hu-HU"/>
        </w:rPr>
        <w:t xml:space="preserve">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 xml:space="preserve">Fizetési számlája: </w:t>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 xml:space="preserve">11738046-15373003-00000000 </w:t>
      </w:r>
      <w:r w:rsidRPr="00903E48">
        <w:rPr>
          <w:rFonts w:ascii="Palatino Linotype" w:eastAsia="Times New Roman" w:hAnsi="Palatino Linotype" w:cs="Times New Roman"/>
          <w:b/>
          <w:lang w:eastAsia="hu-HU"/>
        </w:rPr>
        <w:t xml:space="preserve">fizetési számla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 xml:space="preserve">Egyéb bankszámlái: </w:t>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11738046-15373003-10090002</w:t>
      </w:r>
      <w:r w:rsidRPr="00903E48">
        <w:rPr>
          <w:rFonts w:ascii="Palatino Linotype" w:eastAsia="Times New Roman" w:hAnsi="Palatino Linotype" w:cs="Times New Roman"/>
          <w:b/>
          <w:lang w:eastAsia="hu-HU"/>
        </w:rPr>
        <w:t xml:space="preserve"> közfoglalkoztatás</w:t>
      </w:r>
    </w:p>
    <w:p w:rsidR="00D30A96" w:rsidRPr="00903E48" w:rsidRDefault="00D30A96" w:rsidP="00250E7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 xml:space="preserve">11738046-15373003-08800000 </w:t>
      </w:r>
      <w:r w:rsidR="00250E76" w:rsidRPr="00903E48">
        <w:rPr>
          <w:rFonts w:ascii="Palatino Linotype" w:eastAsia="Times New Roman" w:hAnsi="Palatino Linotype" w:cs="Times New Roman"/>
          <w:b/>
          <w:lang w:eastAsia="hu-HU"/>
        </w:rPr>
        <w:t xml:space="preserve">egyéb bevételek számla </w:t>
      </w:r>
      <w:r w:rsidRPr="00903E48">
        <w:rPr>
          <w:rFonts w:ascii="Palatino Linotype" w:eastAsia="Times New Roman" w:hAnsi="Palatino Linotype" w:cs="Times New Roman"/>
          <w:b/>
          <w:lang w:eastAsia="hu-HU"/>
        </w:rPr>
        <w:t xml:space="preserve"> </w:t>
      </w:r>
    </w:p>
    <w:p w:rsidR="00D30A96" w:rsidRPr="00903E48" w:rsidRDefault="00D30A96" w:rsidP="008A1CD3">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11738046-15373003-03470000</w:t>
      </w:r>
      <w:r w:rsidRPr="00903E48">
        <w:rPr>
          <w:rFonts w:ascii="Palatino Linotype" w:eastAsia="Times New Roman" w:hAnsi="Palatino Linotype" w:cs="Times New Roman"/>
          <w:b/>
          <w:lang w:eastAsia="hu-HU"/>
        </w:rPr>
        <w:t xml:space="preserve"> illeték beszedési elkülönítet</w:t>
      </w:r>
      <w:r w:rsidR="008A1CD3" w:rsidRPr="00903E48">
        <w:rPr>
          <w:rFonts w:ascii="Palatino Linotype" w:eastAsia="Times New Roman" w:hAnsi="Palatino Linotype" w:cs="Times New Roman"/>
          <w:b/>
          <w:lang w:eastAsia="hu-HU"/>
        </w:rPr>
        <w:t xml:space="preserve"> </w:t>
      </w:r>
      <w:r w:rsidR="008A1CD3" w:rsidRPr="00903E48">
        <w:rPr>
          <w:rFonts w:ascii="Palatino Linotype" w:eastAsia="Times New Roman" w:hAnsi="Palatino Linotype" w:cs="Times New Roman"/>
          <w:b/>
          <w:lang w:eastAsia="hu-HU"/>
        </w:rPr>
        <w:br/>
      </w:r>
      <w:r w:rsidR="008A1CD3"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 xml:space="preserve">számla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 xml:space="preserve">11738046-15373003-03540000 </w:t>
      </w:r>
      <w:r w:rsidRPr="00903E48">
        <w:rPr>
          <w:rFonts w:ascii="Palatino Linotype" w:eastAsia="Times New Roman" w:hAnsi="Palatino Linotype" w:cs="Times New Roman"/>
          <w:b/>
          <w:lang w:eastAsia="hu-HU"/>
        </w:rPr>
        <w:t xml:space="preserve">iparűzési adó beszedési számla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 xml:space="preserve">11738046-15373003-03610000 </w:t>
      </w:r>
      <w:r w:rsidRPr="00903E48">
        <w:rPr>
          <w:rFonts w:ascii="Palatino Linotype" w:eastAsia="Times New Roman" w:hAnsi="Palatino Linotype" w:cs="Times New Roman"/>
          <w:b/>
          <w:lang w:eastAsia="hu-HU"/>
        </w:rPr>
        <w:t>bírság beszedési számla</w:t>
      </w:r>
    </w:p>
    <w:p w:rsidR="00D30A96" w:rsidRPr="00903E48" w:rsidRDefault="008A1CD3" w:rsidP="008A1CD3">
      <w:pPr>
        <w:spacing w:after="0" w:line="240" w:lineRule="auto"/>
        <w:ind w:left="2832"/>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 xml:space="preserve">11738046-15373003-03780000 </w:t>
      </w:r>
      <w:r w:rsidR="00DF3B3E" w:rsidRPr="00903E48">
        <w:rPr>
          <w:rFonts w:ascii="Palatino Linotype" w:eastAsia="Times New Roman" w:hAnsi="Palatino Linotype" w:cs="Times New Roman"/>
          <w:b/>
          <w:lang w:eastAsia="hu-HU"/>
        </w:rPr>
        <w:t xml:space="preserve">késedelmi </w:t>
      </w:r>
      <w:r w:rsidR="00D30A96" w:rsidRPr="00903E48">
        <w:rPr>
          <w:rFonts w:ascii="Palatino Linotype" w:eastAsia="Times New Roman" w:hAnsi="Palatino Linotype" w:cs="Times New Roman"/>
          <w:b/>
          <w:lang w:eastAsia="hu-HU"/>
        </w:rPr>
        <w:t xml:space="preserve">pótlék beszedési </w:t>
      </w:r>
      <w:r w:rsidRPr="00903E48">
        <w:rPr>
          <w:rFonts w:ascii="Palatino Linotype" w:eastAsia="Times New Roman" w:hAnsi="Palatino Linotype" w:cs="Times New Roman"/>
          <w:b/>
          <w:lang w:eastAsia="hu-HU"/>
        </w:rPr>
        <w:br/>
      </w:r>
      <w:r w:rsidR="00D30A96" w:rsidRPr="00903E48">
        <w:rPr>
          <w:rFonts w:ascii="Palatino Linotype" w:eastAsia="Times New Roman" w:hAnsi="Palatino Linotype" w:cs="Times New Roman"/>
          <w:b/>
          <w:lang w:eastAsia="hu-HU"/>
        </w:rPr>
        <w:t xml:space="preserve">számla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11738046-15373003-10110007 mezőőri járulék beszedési számla</w:t>
      </w:r>
    </w:p>
    <w:p w:rsidR="008A1CD3"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 xml:space="preserve">11738046-15373003-04400000 </w:t>
      </w:r>
      <w:r w:rsidRPr="00903E48">
        <w:rPr>
          <w:rFonts w:ascii="Palatino Linotype" w:eastAsia="Times New Roman" w:hAnsi="Palatino Linotype" w:cs="Times New Roman"/>
          <w:b/>
          <w:lang w:eastAsia="hu-HU"/>
        </w:rPr>
        <w:t xml:space="preserve">önkormányzatok részére idegen </w:t>
      </w:r>
    </w:p>
    <w:p w:rsidR="00D30A96" w:rsidRPr="00903E48" w:rsidRDefault="00D30A96" w:rsidP="008A1CD3">
      <w:pPr>
        <w:spacing w:after="0" w:line="240" w:lineRule="auto"/>
        <w:ind w:left="2124" w:firstLine="708"/>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 xml:space="preserve">adó számla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t xml:space="preserve"> </w:t>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 xml:space="preserve">11738046-15373003-06530000 </w:t>
      </w:r>
      <w:r w:rsidRPr="00903E48">
        <w:rPr>
          <w:rFonts w:ascii="Palatino Linotype" w:eastAsia="Times New Roman" w:hAnsi="Palatino Linotype" w:cs="Times New Roman"/>
          <w:b/>
          <w:lang w:eastAsia="hu-HU"/>
        </w:rPr>
        <w:t xml:space="preserve">önkormányzati letéti számla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 xml:space="preserve">11738046-15373003-08660000 </w:t>
      </w:r>
      <w:r w:rsidRPr="00903E48">
        <w:rPr>
          <w:rFonts w:ascii="Palatino Linotype" w:eastAsia="Times New Roman" w:hAnsi="Palatino Linotype" w:cs="Times New Roman"/>
          <w:b/>
          <w:lang w:eastAsia="hu-HU"/>
        </w:rPr>
        <w:t xml:space="preserve">termőföld bérbeadásából </w:t>
      </w:r>
      <w:r w:rsidR="008A1CD3" w:rsidRPr="00903E48">
        <w:rPr>
          <w:rFonts w:ascii="Palatino Linotype" w:eastAsia="Times New Roman" w:hAnsi="Palatino Linotype" w:cs="Times New Roman"/>
          <w:b/>
          <w:lang w:eastAsia="hu-HU"/>
        </w:rPr>
        <w:br/>
      </w:r>
      <w:r w:rsidR="008A1CD3"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 xml:space="preserve">származó jövedelemadó számla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 xml:space="preserve">11738046-15373003-08970000 </w:t>
      </w:r>
      <w:r w:rsidRPr="00903E48">
        <w:rPr>
          <w:rFonts w:ascii="Palatino Linotype" w:eastAsia="Times New Roman" w:hAnsi="Palatino Linotype" w:cs="Times New Roman"/>
          <w:b/>
          <w:lang w:eastAsia="hu-HU"/>
        </w:rPr>
        <w:t xml:space="preserve">gépjárműadó beszedési számla </w:t>
      </w:r>
    </w:p>
    <w:p w:rsidR="00D30A96"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8A1CD3" w:rsidRPr="00903E48">
        <w:rPr>
          <w:rFonts w:ascii="Palatino Linotype" w:eastAsia="Times New Roman" w:hAnsi="Palatino Linotype" w:cs="Times New Roman"/>
          <w:b/>
          <w:lang w:eastAsia="hu-HU"/>
        </w:rPr>
        <w:t>11738046-15373003-05120000 Árv. 145.§ (2) bek. szerinti</w:t>
      </w:r>
      <w:r w:rsidRPr="00903E48">
        <w:rPr>
          <w:rFonts w:ascii="Palatino Linotype" w:eastAsia="Times New Roman" w:hAnsi="Palatino Linotype" w:cs="Times New Roman"/>
          <w:b/>
          <w:lang w:eastAsia="hu-HU"/>
        </w:rPr>
        <w:t xml:space="preserve"> számla </w:t>
      </w:r>
      <w:r w:rsidR="008A1CD3" w:rsidRPr="00903E48">
        <w:rPr>
          <w:rFonts w:ascii="Palatino Linotype" w:eastAsia="Times New Roman" w:hAnsi="Palatino Linotype" w:cs="Times New Roman"/>
          <w:b/>
          <w:lang w:eastAsia="hu-HU"/>
        </w:rPr>
        <w:br/>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t xml:space="preserve">állami támogatás </w:t>
      </w:r>
      <w:r w:rsidR="008A1CD3" w:rsidRPr="00903E48">
        <w:rPr>
          <w:rFonts w:ascii="Palatino Linotype" w:eastAsia="Times New Roman" w:hAnsi="Palatino Linotype" w:cs="Times New Roman"/>
          <w:b/>
          <w:lang w:eastAsia="hu-HU"/>
        </w:rPr>
        <w:t>számla</w:t>
      </w:r>
    </w:p>
    <w:p w:rsidR="00DF3B3E" w:rsidRPr="00903E48" w:rsidRDefault="00D30A96"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00DF3B3E" w:rsidRPr="00903E48">
        <w:rPr>
          <w:rFonts w:ascii="Palatino Linotype" w:eastAsia="Times New Roman" w:hAnsi="Palatino Linotype" w:cs="Times New Roman"/>
          <w:b/>
          <w:lang w:eastAsia="hu-HU"/>
        </w:rPr>
        <w:t xml:space="preserve">64400123-30105963-02000014 technikai </w:t>
      </w:r>
      <w:r w:rsidRPr="00903E48">
        <w:rPr>
          <w:rFonts w:ascii="Palatino Linotype" w:eastAsia="Times New Roman" w:hAnsi="Palatino Linotype" w:cs="Times New Roman"/>
          <w:b/>
          <w:lang w:eastAsia="hu-HU"/>
        </w:rPr>
        <w:t>számla</w:t>
      </w:r>
    </w:p>
    <w:p w:rsidR="00D30A96" w:rsidRPr="00903E48" w:rsidRDefault="00DF3B3E" w:rsidP="00D30A96">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lastRenderedPageBreak/>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t>11738046-15373003-10100008 jó teljesítési biztosíték számla</w:t>
      </w:r>
      <w:r w:rsidR="00D30A96" w:rsidRPr="00903E48">
        <w:rPr>
          <w:rFonts w:ascii="Palatino Linotype" w:eastAsia="Times New Roman" w:hAnsi="Palatino Linotype" w:cs="Times New Roman"/>
          <w:b/>
          <w:lang w:eastAsia="hu-HU"/>
        </w:rPr>
        <w:t xml:space="preserve"> </w:t>
      </w:r>
    </w:p>
    <w:p w:rsidR="00DF3B3E" w:rsidRPr="00903E48" w:rsidRDefault="00DF3B3E" w:rsidP="008A1CD3">
      <w:pPr>
        <w:spacing w:after="0" w:line="240" w:lineRule="auto"/>
        <w:ind w:left="2832"/>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 xml:space="preserve">11738046-15373003-10650008  korház képző, közösségépítő int. </w:t>
      </w:r>
      <w:r w:rsidR="008A1CD3" w:rsidRPr="00903E48">
        <w:rPr>
          <w:rFonts w:ascii="Palatino Linotype" w:eastAsia="Times New Roman" w:hAnsi="Palatino Linotype" w:cs="Times New Roman"/>
          <w:b/>
          <w:lang w:eastAsia="hu-HU"/>
        </w:rPr>
        <w:br/>
      </w:r>
      <w:r w:rsidRPr="00903E48">
        <w:rPr>
          <w:rFonts w:ascii="Palatino Linotype" w:eastAsia="Times New Roman" w:hAnsi="Palatino Linotype" w:cs="Times New Roman"/>
          <w:b/>
          <w:lang w:eastAsia="hu-HU"/>
        </w:rPr>
        <w:t>pr. számla</w:t>
      </w:r>
    </w:p>
    <w:p w:rsidR="00D30A96" w:rsidRDefault="00D30A96" w:rsidP="00BB299E">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r>
    </w:p>
    <w:p w:rsidR="00AE24DE" w:rsidRPr="00903E48" w:rsidRDefault="00AE24DE" w:rsidP="00AE24DE">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Hencida</w:t>
      </w:r>
      <w:r>
        <w:rPr>
          <w:rFonts w:ascii="Palatino Linotype" w:eastAsia="Times New Roman" w:hAnsi="Palatino Linotype" w:cs="Times New Roman"/>
          <w:b/>
          <w:lang w:eastAsia="hu-HU"/>
        </w:rPr>
        <w:t>i</w:t>
      </w:r>
      <w:r w:rsidRPr="00903E48">
        <w:rPr>
          <w:rFonts w:ascii="Palatino Linotype" w:eastAsia="Times New Roman" w:hAnsi="Palatino Linotype" w:cs="Times New Roman"/>
          <w:b/>
          <w:lang w:eastAsia="hu-HU"/>
        </w:rPr>
        <w:t xml:space="preserve"> Köz</w:t>
      </w:r>
      <w:r>
        <w:rPr>
          <w:rFonts w:ascii="Palatino Linotype" w:eastAsia="Times New Roman" w:hAnsi="Palatino Linotype" w:cs="Times New Roman"/>
          <w:b/>
          <w:lang w:eastAsia="hu-HU"/>
        </w:rPr>
        <w:t>ös</w:t>
      </w:r>
      <w:r w:rsidRPr="00903E48">
        <w:rPr>
          <w:rFonts w:ascii="Palatino Linotype" w:eastAsia="Times New Roman" w:hAnsi="Palatino Linotype" w:cs="Times New Roman"/>
          <w:b/>
          <w:lang w:eastAsia="hu-HU"/>
        </w:rPr>
        <w:t xml:space="preserve"> Önkormányzat</w:t>
      </w:r>
      <w:r>
        <w:rPr>
          <w:rFonts w:ascii="Palatino Linotype" w:eastAsia="Times New Roman" w:hAnsi="Palatino Linotype" w:cs="Times New Roman"/>
          <w:b/>
          <w:lang w:eastAsia="hu-HU"/>
        </w:rPr>
        <w:t>i hivatal</w:t>
      </w:r>
      <w:r w:rsidRPr="00903E48">
        <w:rPr>
          <w:rFonts w:ascii="Palatino Linotype" w:eastAsia="Times New Roman" w:hAnsi="Palatino Linotype" w:cs="Times New Roman"/>
          <w:b/>
          <w:lang w:eastAsia="hu-HU"/>
        </w:rPr>
        <w:t xml:space="preserve"> székhelye: Hencida, Kossuth tér 1. sz.  </w:t>
      </w:r>
    </w:p>
    <w:p w:rsidR="00AE24DE" w:rsidRPr="00903E48" w:rsidRDefault="00AE24DE" w:rsidP="00AE24DE">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 xml:space="preserve">Fizetési számlája: </w:t>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t>11738046-</w:t>
      </w:r>
      <w:r>
        <w:rPr>
          <w:rFonts w:ascii="Palatino Linotype" w:eastAsia="Times New Roman" w:hAnsi="Palatino Linotype" w:cs="Times New Roman"/>
          <w:b/>
          <w:lang w:eastAsia="hu-HU"/>
        </w:rPr>
        <w:t>16729050</w:t>
      </w:r>
      <w:r w:rsidRPr="00903E48">
        <w:rPr>
          <w:rFonts w:ascii="Palatino Linotype" w:eastAsia="Times New Roman" w:hAnsi="Palatino Linotype" w:cs="Times New Roman"/>
          <w:b/>
          <w:lang w:eastAsia="hu-HU"/>
        </w:rPr>
        <w:t xml:space="preserve">-00000000 fizetési számla </w:t>
      </w:r>
    </w:p>
    <w:p w:rsidR="00AE24DE" w:rsidRDefault="00AE24DE" w:rsidP="00BB299E">
      <w:pPr>
        <w:spacing w:after="0" w:line="240" w:lineRule="auto"/>
        <w:jc w:val="both"/>
        <w:outlineLvl w:val="1"/>
        <w:rPr>
          <w:rFonts w:ascii="Palatino Linotype" w:eastAsia="Times New Roman" w:hAnsi="Palatino Linotype" w:cs="Times New Roman"/>
          <w:b/>
          <w:lang w:eastAsia="hu-HU"/>
        </w:rPr>
      </w:pPr>
    </w:p>
    <w:p w:rsidR="00AE24DE" w:rsidRPr="00903E48" w:rsidRDefault="00AE24DE" w:rsidP="00AE24DE">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Hencida</w:t>
      </w:r>
      <w:r>
        <w:rPr>
          <w:rFonts w:ascii="Palatino Linotype" w:eastAsia="Times New Roman" w:hAnsi="Palatino Linotype" w:cs="Times New Roman"/>
          <w:b/>
          <w:lang w:eastAsia="hu-HU"/>
        </w:rPr>
        <w:t>i</w:t>
      </w:r>
      <w:r w:rsidRPr="00903E48">
        <w:rPr>
          <w:rFonts w:ascii="Palatino Linotype" w:eastAsia="Times New Roman" w:hAnsi="Palatino Linotype" w:cs="Times New Roman"/>
          <w:b/>
          <w:lang w:eastAsia="hu-HU"/>
        </w:rPr>
        <w:t xml:space="preserve"> </w:t>
      </w:r>
      <w:r>
        <w:rPr>
          <w:rFonts w:ascii="Palatino Linotype" w:eastAsia="Times New Roman" w:hAnsi="Palatino Linotype" w:cs="Times New Roman"/>
          <w:b/>
          <w:lang w:eastAsia="hu-HU"/>
        </w:rPr>
        <w:t>Napközi Otthonos Óvoda és Konyha</w:t>
      </w:r>
      <w:r w:rsidRPr="00903E48">
        <w:rPr>
          <w:rFonts w:ascii="Palatino Linotype" w:eastAsia="Times New Roman" w:hAnsi="Palatino Linotype" w:cs="Times New Roman"/>
          <w:b/>
          <w:lang w:eastAsia="hu-HU"/>
        </w:rPr>
        <w:t xml:space="preserve"> székhelye: Hencida, Kossuth tér 1. sz.  </w:t>
      </w:r>
    </w:p>
    <w:p w:rsidR="00AE24DE" w:rsidRPr="00903E48" w:rsidRDefault="00AE24DE" w:rsidP="00AE24DE">
      <w:pPr>
        <w:spacing w:after="0" w:line="240" w:lineRule="auto"/>
        <w:jc w:val="both"/>
        <w:outlineLvl w:val="1"/>
        <w:rPr>
          <w:rFonts w:ascii="Palatino Linotype" w:eastAsia="Times New Roman" w:hAnsi="Palatino Linotype" w:cs="Times New Roman"/>
          <w:b/>
          <w:lang w:eastAsia="hu-HU"/>
        </w:rPr>
      </w:pPr>
      <w:r w:rsidRPr="00903E48">
        <w:rPr>
          <w:rFonts w:ascii="Palatino Linotype" w:eastAsia="Times New Roman" w:hAnsi="Palatino Linotype" w:cs="Times New Roman"/>
          <w:b/>
          <w:lang w:eastAsia="hu-HU"/>
        </w:rPr>
        <w:t xml:space="preserve">Fizetési számlája: </w:t>
      </w:r>
      <w:r w:rsidRPr="00903E48">
        <w:rPr>
          <w:rFonts w:ascii="Palatino Linotype" w:eastAsia="Times New Roman" w:hAnsi="Palatino Linotype" w:cs="Times New Roman"/>
          <w:b/>
          <w:lang w:eastAsia="hu-HU"/>
        </w:rPr>
        <w:tab/>
      </w:r>
      <w:r w:rsidRPr="00903E48">
        <w:rPr>
          <w:rFonts w:ascii="Palatino Linotype" w:eastAsia="Times New Roman" w:hAnsi="Palatino Linotype" w:cs="Times New Roman"/>
          <w:b/>
          <w:lang w:eastAsia="hu-HU"/>
        </w:rPr>
        <w:tab/>
        <w:t>11738046-</w:t>
      </w:r>
      <w:r>
        <w:rPr>
          <w:rFonts w:ascii="Palatino Linotype" w:eastAsia="Times New Roman" w:hAnsi="Palatino Linotype" w:cs="Times New Roman"/>
          <w:b/>
          <w:lang w:eastAsia="hu-HU"/>
        </w:rPr>
        <w:t>15812704</w:t>
      </w:r>
      <w:r w:rsidRPr="00903E48">
        <w:rPr>
          <w:rFonts w:ascii="Palatino Linotype" w:eastAsia="Times New Roman" w:hAnsi="Palatino Linotype" w:cs="Times New Roman"/>
          <w:b/>
          <w:lang w:eastAsia="hu-HU"/>
        </w:rPr>
        <w:t xml:space="preserve">-00000000 fizetési számla </w:t>
      </w:r>
    </w:p>
    <w:p w:rsidR="00AE24DE" w:rsidRDefault="00AE24DE" w:rsidP="00BB299E">
      <w:pPr>
        <w:spacing w:after="0" w:line="240" w:lineRule="auto"/>
        <w:jc w:val="both"/>
        <w:outlineLvl w:val="1"/>
        <w:rPr>
          <w:rFonts w:ascii="Palatino Linotype" w:eastAsia="Times New Roman" w:hAnsi="Palatino Linotype" w:cs="Times New Roman"/>
          <w:b/>
          <w:lang w:eastAsia="hu-HU"/>
        </w:rPr>
      </w:pPr>
    </w:p>
    <w:p w:rsidR="00AE24DE" w:rsidRPr="00903E48" w:rsidRDefault="00AE24DE" w:rsidP="00BB299E">
      <w:pPr>
        <w:spacing w:after="0" w:line="240" w:lineRule="auto"/>
        <w:jc w:val="both"/>
        <w:outlineLvl w:val="1"/>
        <w:rPr>
          <w:rFonts w:ascii="Palatino Linotype" w:eastAsia="Times New Roman" w:hAnsi="Palatino Linotype" w:cs="Times New Roman"/>
          <w:b/>
          <w:bCs/>
          <w:lang w:eastAsia="hu-HU"/>
        </w:rPr>
      </w:pPr>
    </w:p>
    <w:p w:rsidR="00D30A96" w:rsidRPr="00BB299E" w:rsidRDefault="00D30A96" w:rsidP="00D30A96">
      <w:pPr>
        <w:spacing w:after="0" w:line="240" w:lineRule="auto"/>
        <w:jc w:val="both"/>
        <w:outlineLvl w:val="1"/>
        <w:rPr>
          <w:rFonts w:ascii="Palatino Linotype" w:eastAsia="Times New Roman" w:hAnsi="Palatino Linotype" w:cs="Times New Roman"/>
          <w:b/>
          <w:bCs/>
          <w:lang w:eastAsia="hu-HU"/>
        </w:rPr>
      </w:pPr>
      <w:r w:rsidRPr="00BB299E">
        <w:rPr>
          <w:rFonts w:ascii="Palatino Linotype" w:eastAsia="Times New Roman" w:hAnsi="Palatino Linotype" w:cs="Times New Roman"/>
          <w:b/>
          <w:bCs/>
          <w:lang w:eastAsia="hu-HU"/>
        </w:rPr>
        <w:t xml:space="preserve">Kormányzati funkciók: </w:t>
      </w:r>
    </w:p>
    <w:tbl>
      <w:tblPr>
        <w:tblStyle w:val="Rcsostblzat"/>
        <w:tblW w:w="0" w:type="auto"/>
        <w:tblInd w:w="38" w:type="dxa"/>
        <w:tblLook w:val="04A0" w:firstRow="1" w:lastRow="0" w:firstColumn="1" w:lastColumn="0" w:noHBand="0" w:noVBand="1"/>
      </w:tblPr>
      <w:tblGrid>
        <w:gridCol w:w="1630"/>
        <w:gridCol w:w="7582"/>
      </w:tblGrid>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011130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 xml:space="preserve">önkormányzatok és önkormányzati hivatalok jogalkotó és általános igazgatási tevékenysége </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013320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köztemető fenntartás és működtetés</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041231</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rövid időtartamú közfoglalkoztatás</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041233</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hosszabb időtartamú közfoglalkoztatás</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041237</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közfoglalkoztatási mintaprogram</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042180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állat-egészségügy</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063020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víztermelés, kezelés, ellátás</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064010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közvilágítás</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066020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 xml:space="preserve">város- községgazdálkodási egyéb szolgáltatások </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072111</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háziorvosi alapellátás</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074031</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család-és nővédelmi egészségügyi gondozás</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074032</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ifjúság-egészségügyi gondozás</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082042</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könyvtári állomány gyarapítása, nyilvántartása</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082092</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közművelődés- hagyományos közösségi kulturális értékek gondozása</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091110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 xml:space="preserve">óvodai nevelés, ellátás szakmai feladatai </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091220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köznevelési intézmény 1-4. évfolyamán tanulók nevelésével, oktatásával összefüggő működtetési feladatok</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092120</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köznevelési intézmény 5-8. évfolyamán tanulók nevelésével, oktatásával összefüggő működtetési feladatok</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096015</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gyermekétkeztetés köznevelési intézményben</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096025</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munkahelyi étkeztetés köznevelési intézményben</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104042</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 xml:space="preserve">család-és gyermekjóléti szolgáltatások </w:t>
            </w:r>
          </w:p>
        </w:tc>
      </w:tr>
      <w:tr w:rsidR="00D30A96" w:rsidRPr="00BB299E" w:rsidTr="00D30A96">
        <w:tc>
          <w:tcPr>
            <w:tcW w:w="1630"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107051</w:t>
            </w:r>
          </w:p>
        </w:tc>
        <w:tc>
          <w:tcPr>
            <w:tcW w:w="7582" w:type="dxa"/>
          </w:tcPr>
          <w:p w:rsidR="00D30A96" w:rsidRPr="00BB299E" w:rsidRDefault="00D30A96" w:rsidP="00D30A96">
            <w:pPr>
              <w:jc w:val="both"/>
              <w:outlineLvl w:val="1"/>
              <w:rPr>
                <w:rFonts w:ascii="Palatino Linotype" w:hAnsi="Palatino Linotype" w:cs="Times New Roman"/>
                <w:b/>
                <w:bCs/>
                <w:lang w:eastAsia="hu-HU"/>
              </w:rPr>
            </w:pPr>
            <w:r w:rsidRPr="00BB299E">
              <w:rPr>
                <w:rFonts w:ascii="Palatino Linotype" w:hAnsi="Palatino Linotype" w:cs="Times New Roman"/>
                <w:b/>
                <w:bCs/>
                <w:lang w:eastAsia="hu-HU"/>
              </w:rPr>
              <w:t xml:space="preserve">szociális étkeztetés </w:t>
            </w:r>
          </w:p>
        </w:tc>
      </w:tr>
    </w:tbl>
    <w:p w:rsidR="00D30A96" w:rsidRPr="00BB299E" w:rsidRDefault="00D30A96" w:rsidP="00D30A96">
      <w:pPr>
        <w:spacing w:after="0" w:line="240" w:lineRule="auto"/>
        <w:jc w:val="both"/>
        <w:outlineLvl w:val="1"/>
        <w:rPr>
          <w:rFonts w:ascii="Palatino Linotype" w:eastAsia="Times New Roman" w:hAnsi="Palatino Linotype" w:cs="Times New Roman"/>
          <w:b/>
          <w:bCs/>
          <w:lang w:eastAsia="hu-HU"/>
        </w:rPr>
      </w:pPr>
    </w:p>
    <w:p w:rsidR="00D30A96" w:rsidRPr="00D30A96" w:rsidRDefault="00D30A96" w:rsidP="00D30A96">
      <w:pPr>
        <w:spacing w:after="0" w:line="240" w:lineRule="auto"/>
        <w:jc w:val="both"/>
        <w:outlineLvl w:val="1"/>
        <w:rPr>
          <w:rFonts w:ascii="Palatino Linotype" w:eastAsia="Times New Roman" w:hAnsi="Palatino Linotype" w:cs="Times New Roman"/>
          <w:b/>
          <w:bCs/>
          <w:lang w:eastAsia="hu-HU"/>
        </w:rPr>
      </w:pPr>
      <w:r w:rsidRPr="00D30A96">
        <w:rPr>
          <w:rFonts w:ascii="Palatino Linotype" w:eastAsia="Times New Roman" w:hAnsi="Palatino Linotype" w:cs="Times New Roman"/>
          <w:b/>
          <w:bCs/>
          <w:lang w:eastAsia="hu-HU"/>
        </w:rPr>
        <w:t>A települési önkormányzat maga határozza meg - a lakosság igényei alapján, anyagi</w:t>
      </w:r>
    </w:p>
    <w:p w:rsidR="00D30A96" w:rsidRPr="00D30A96" w:rsidRDefault="00D30A96" w:rsidP="00D30A96">
      <w:pPr>
        <w:spacing w:after="0" w:line="240" w:lineRule="auto"/>
        <w:jc w:val="both"/>
        <w:outlineLvl w:val="1"/>
        <w:rPr>
          <w:rFonts w:ascii="Palatino Linotype" w:eastAsia="Times New Roman" w:hAnsi="Palatino Linotype" w:cs="Times New Roman"/>
          <w:b/>
          <w:bCs/>
          <w:lang w:eastAsia="hu-HU"/>
        </w:rPr>
      </w:pPr>
      <w:r w:rsidRPr="00D30A96">
        <w:rPr>
          <w:rFonts w:ascii="Palatino Linotype" w:eastAsia="Times New Roman" w:hAnsi="Palatino Linotype" w:cs="Times New Roman"/>
          <w:b/>
          <w:bCs/>
          <w:lang w:eastAsia="hu-HU"/>
        </w:rPr>
        <w:t>lehetőségeitől függően -, mely feladatokat, milyen mértékben és módon lát el. Azt, hogy az önkormányzat mely feladatok ellátását vállalja, befolyásolja a helyi társadalom szerkezete, a népesség összetétele, a település adottságai, fejlettsége, helyzete és egyéb más körülmények is.</w:t>
      </w:r>
    </w:p>
    <w:p w:rsidR="00D30A96" w:rsidRPr="00D30A96" w:rsidRDefault="00D30A96" w:rsidP="00D30A96">
      <w:pPr>
        <w:spacing w:after="0" w:line="240" w:lineRule="auto"/>
        <w:jc w:val="both"/>
        <w:outlineLvl w:val="1"/>
        <w:rPr>
          <w:rFonts w:ascii="Palatino Linotype" w:eastAsia="Times New Roman" w:hAnsi="Palatino Linotype" w:cs="Times New Roman"/>
          <w:b/>
          <w:lang w:eastAsia="hu-HU"/>
        </w:rPr>
      </w:pPr>
    </w:p>
    <w:p w:rsidR="00D30A96" w:rsidRPr="00D30A96" w:rsidRDefault="00D30A96" w:rsidP="00D30A96">
      <w:pPr>
        <w:spacing w:after="0" w:line="240" w:lineRule="auto"/>
        <w:jc w:val="both"/>
        <w:outlineLvl w:val="1"/>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települési önkormányzat feladata a helyi közszolgáltatások körében különösen:</w:t>
      </w:r>
    </w:p>
    <w:p w:rsidR="00D30A96" w:rsidRPr="00D30A96" w:rsidRDefault="00D30A96" w:rsidP="00D30A96">
      <w:pPr>
        <w:spacing w:after="0" w:line="240" w:lineRule="auto"/>
        <w:jc w:val="both"/>
        <w:outlineLvl w:val="1"/>
        <w:rPr>
          <w:rFonts w:ascii="Palatino Linotype" w:eastAsia="Times New Roman" w:hAnsi="Palatino Linotype" w:cs="Times New Roman"/>
          <w:b/>
          <w:bCs/>
          <w:lang w:eastAsia="hu-HU"/>
        </w:rPr>
      </w:pPr>
      <w:r w:rsidRPr="00D30A96">
        <w:rPr>
          <w:rFonts w:ascii="Palatino Linotype" w:eastAsia="Times New Roman" w:hAnsi="Palatino Linotype" w:cs="Times New Roman"/>
          <w:b/>
          <w:bCs/>
          <w:lang w:eastAsia="hu-HU"/>
        </w:rPr>
        <w:t>a településfejlesztés, a településrendezés, az épített és természeti környezet védelme, a</w:t>
      </w:r>
    </w:p>
    <w:p w:rsidR="00D30A96" w:rsidRPr="00D30A96" w:rsidRDefault="00D30A96" w:rsidP="00D30A96">
      <w:pPr>
        <w:spacing w:after="0" w:line="240" w:lineRule="auto"/>
        <w:jc w:val="both"/>
        <w:outlineLvl w:val="1"/>
        <w:rPr>
          <w:rFonts w:ascii="Palatino Linotype" w:eastAsia="Times New Roman" w:hAnsi="Palatino Linotype" w:cs="Times New Roman"/>
          <w:b/>
          <w:bCs/>
          <w:lang w:eastAsia="hu-HU"/>
        </w:rPr>
      </w:pPr>
      <w:r w:rsidRPr="00D30A96">
        <w:rPr>
          <w:rFonts w:ascii="Palatino Linotype" w:eastAsia="Times New Roman" w:hAnsi="Palatino Linotype" w:cs="Times New Roman"/>
          <w:b/>
          <w:bCs/>
          <w:lang w:eastAsia="hu-HU"/>
        </w:rPr>
        <w:t>lakásgazdálkodás, a vízrendezés és a csapadékvíz elvezetés, a csatornázás, a köztemető</w:t>
      </w:r>
    </w:p>
    <w:p w:rsidR="00D30A96" w:rsidRPr="00D30A96" w:rsidRDefault="00D30A96" w:rsidP="00D30A96">
      <w:pPr>
        <w:spacing w:after="0" w:line="240" w:lineRule="auto"/>
        <w:jc w:val="both"/>
        <w:outlineLvl w:val="1"/>
        <w:rPr>
          <w:rFonts w:ascii="Palatino Linotype" w:eastAsia="Times New Roman" w:hAnsi="Palatino Linotype" w:cs="Times New Roman"/>
          <w:b/>
          <w:bCs/>
          <w:lang w:eastAsia="hu-HU"/>
        </w:rPr>
      </w:pPr>
      <w:r w:rsidRPr="00D30A96">
        <w:rPr>
          <w:rFonts w:ascii="Palatino Linotype" w:eastAsia="Times New Roman" w:hAnsi="Palatino Linotype" w:cs="Times New Roman"/>
          <w:b/>
          <w:bCs/>
          <w:lang w:eastAsia="hu-HU"/>
        </w:rPr>
        <w:t>fenntartása, a helyi közutak és közterületek fenntartása, helyi tömegközlekedés, a</w:t>
      </w:r>
    </w:p>
    <w:p w:rsidR="00D30A96" w:rsidRPr="00D30A96" w:rsidRDefault="00D30A96" w:rsidP="00D30A96">
      <w:pPr>
        <w:spacing w:after="0" w:line="240" w:lineRule="auto"/>
        <w:jc w:val="both"/>
        <w:outlineLvl w:val="1"/>
        <w:rPr>
          <w:rFonts w:ascii="Palatino Linotype" w:eastAsia="Times New Roman" w:hAnsi="Palatino Linotype" w:cs="Times New Roman"/>
          <w:b/>
          <w:bCs/>
          <w:lang w:eastAsia="hu-HU"/>
        </w:rPr>
      </w:pPr>
      <w:r w:rsidRPr="00D30A96">
        <w:rPr>
          <w:rFonts w:ascii="Palatino Linotype" w:eastAsia="Times New Roman" w:hAnsi="Palatino Linotype" w:cs="Times New Roman"/>
          <w:b/>
          <w:bCs/>
          <w:lang w:eastAsia="hu-HU"/>
        </w:rPr>
        <w:t>köztisztaság és településtisztaság biztosítása; gondoskodás a helyi tűzvédelemről,</w:t>
      </w:r>
    </w:p>
    <w:p w:rsidR="00D30A96" w:rsidRPr="00D30A96" w:rsidRDefault="00D30A96" w:rsidP="00D30A96">
      <w:pPr>
        <w:spacing w:after="0" w:line="240" w:lineRule="auto"/>
        <w:jc w:val="both"/>
        <w:outlineLvl w:val="1"/>
        <w:rPr>
          <w:rFonts w:ascii="Palatino Linotype" w:eastAsia="Times New Roman" w:hAnsi="Palatino Linotype" w:cs="Times New Roman"/>
          <w:b/>
          <w:bCs/>
          <w:lang w:eastAsia="hu-HU"/>
        </w:rPr>
      </w:pPr>
      <w:r w:rsidRPr="00D30A96">
        <w:rPr>
          <w:rFonts w:ascii="Palatino Linotype" w:eastAsia="Times New Roman" w:hAnsi="Palatino Linotype" w:cs="Times New Roman"/>
          <w:b/>
          <w:bCs/>
          <w:lang w:eastAsia="hu-HU"/>
        </w:rPr>
        <w:lastRenderedPageBreak/>
        <w:t>közbiztonság helyi feladatairól; közreműködés a helyi energiaszolgáltatásban, a</w:t>
      </w:r>
    </w:p>
    <w:p w:rsidR="00D30A96" w:rsidRPr="00D30A96" w:rsidRDefault="00D30A96" w:rsidP="00D30A96">
      <w:pPr>
        <w:spacing w:after="0" w:line="240" w:lineRule="auto"/>
        <w:jc w:val="both"/>
        <w:outlineLvl w:val="1"/>
        <w:rPr>
          <w:rFonts w:ascii="Palatino Linotype" w:eastAsia="Times New Roman" w:hAnsi="Palatino Linotype" w:cs="Times New Roman"/>
          <w:b/>
          <w:bCs/>
          <w:lang w:eastAsia="hu-HU"/>
        </w:rPr>
      </w:pPr>
      <w:r w:rsidRPr="00D30A96">
        <w:rPr>
          <w:rFonts w:ascii="Palatino Linotype" w:eastAsia="Times New Roman" w:hAnsi="Palatino Linotype" w:cs="Times New Roman"/>
          <w:b/>
          <w:bCs/>
          <w:lang w:eastAsia="hu-HU"/>
        </w:rPr>
        <w:t>foglalkoztatás megoldásában; az óvodáról, az egészségügyi, a szociális ellátásról, valamint a gyermek és ifjúsági feladatokról való gondoskodás; a közösségi tér biztosítása; közművelődési, tudományos, művészeti tevékenység, sport támogatása; a nemzeti és etnikai kisebbségek jogai érvényesítésének a biztosítása; az egészséges életmód közösségi feltételeinek elősegítése.</w:t>
      </w:r>
    </w:p>
    <w:p w:rsidR="00D30A96" w:rsidRPr="00903E48" w:rsidRDefault="00D30A96" w:rsidP="00D30A96">
      <w:pPr>
        <w:spacing w:after="0" w:line="240" w:lineRule="auto"/>
        <w:contextualSpacing/>
        <w:jc w:val="both"/>
        <w:rPr>
          <w:rFonts w:ascii="Palatino Linotype" w:eastAsia="Times New Roman" w:hAnsi="Palatino Linotype" w:cs="Times New Roman"/>
          <w:lang w:eastAsia="hu-HU"/>
        </w:rPr>
      </w:pPr>
    </w:p>
    <w:p w:rsidR="00D30A96" w:rsidRPr="00D30A96" w:rsidRDefault="00D30A96" w:rsidP="00D30A96">
      <w:pPr>
        <w:numPr>
          <w:ilvl w:val="0"/>
          <w:numId w:val="4"/>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11" w:name="_Toc381619490"/>
      <w:r w:rsidRPr="00D30A96">
        <w:rPr>
          <w:rFonts w:ascii="Palatino Linotype" w:eastAsia="Times New Roman" w:hAnsi="Palatino Linotype" w:cs="Times New Roman"/>
          <w:b/>
          <w:lang w:eastAsia="hu-HU"/>
        </w:rPr>
        <w:t>A számviteli alapelvek érvényesülése</w:t>
      </w:r>
      <w:bookmarkEnd w:id="11"/>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költségvetési szerveknek a költségvetési és pénzügyi számvitelben az Szt.-ben meghatározott számviteli alapelveket az Áhsz. 4. § (2)–(8) bekezdéseiben meghatározott sajátosságokkal kell érvényesíteni.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vállalkozás folytatásának elve</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lang w:eastAsia="hu-HU"/>
        </w:rPr>
        <w:t xml:space="preserve">Az Szt. szabálya szerint ez az alapelv azt jelenti, hogy a beszámoló elkészítésekor és a könyvvezetés során </w:t>
      </w:r>
      <w:r w:rsidRPr="00D30A96">
        <w:rPr>
          <w:rFonts w:ascii="Palatino Linotype" w:eastAsia="Times New Roman" w:hAnsi="Palatino Linotype" w:cs="Times New Roman"/>
          <w:color w:val="000000"/>
          <w:lang w:eastAsia="hu-HU"/>
        </w:rPr>
        <w:t>abból kell kiindulni, hogy a gazdálkodó szervezet a belátható jövőben is fenn tudja tartani működését, folytatni tudja tevékenységét, nem várható a működés beszüntetése vagy bármilyen okból történő jelentős csökkenése.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 </w:t>
      </w:r>
      <w:r w:rsidRPr="00D30A96">
        <w:rPr>
          <w:rFonts w:ascii="Palatino Linotype" w:eastAsia="Times New Roman" w:hAnsi="Palatino Linotype" w:cs="Times New Roman"/>
          <w:iCs/>
          <w:color w:val="000000"/>
          <w:lang w:eastAsia="hu-HU"/>
        </w:rPr>
        <w:t>költségvetési szervnél a vállalkozás folytatásának az elve</w:t>
      </w:r>
      <w:r w:rsidRPr="00D30A96">
        <w:rPr>
          <w:rFonts w:ascii="Palatino Linotype" w:eastAsia="Times New Roman" w:hAnsi="Palatino Linotype" w:cs="Times New Roman"/>
          <w:color w:val="000000"/>
          <w:lang w:eastAsia="hu-HU"/>
        </w:rPr>
        <w:t xml:space="preserve"> azt jelenti, hogy a költségvetési szerv folytatja tevékenységét, vagyonát, anyagi eszközeit ennek érdekében veszi számba, mérlegeli a vele szemben támasztott követelményeket, tervezi és biztosítja az azok teljesítéséhez szükséges feltételeket. Ez az alapelv magában foglalja a szerkezeti változások megfigyelésének szükségességét is. Az elv teljesítése tehát perspektivikus gondolkodást, körültekintő tervezést, a tartalékok és a szükséges (többlet) források feltárását, adekvát munkaszervezet kialakítását és megfelelő munkaszervezést igényel a költségvetési szerv vezetésétől. A feladatok végrehajtásáról készített éves költségvetési beszámolónak meg kell alapozni a következő év, évek költségvetési tervezését.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Külön jelentőséget ad ennek az elvnek az, hogy a költségvetési szervek – szociális, egészségügyi, oktatási, kutatási stb. területen – közfeladatot látnak el, az állam „megbízásából” lakossági igényeket elégítenek ki, a tevékenység folytatásáért a költségvetési szerv vezetői fokozott felelősséggel tartoznak. Ennek a felelősségnek tudatában kell számba venni a feladatokat, az azokban bekövetkezett vagy várható változásokat, és azok gondos mérlegelésével kell elkészíteni költségvetést és kell számot adni az éves költségvetési beszámolóban a működésről.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spacing w:val="-2"/>
          <w:lang w:eastAsia="hu-HU"/>
        </w:rPr>
      </w:pPr>
      <w:r w:rsidRPr="00D30A96">
        <w:rPr>
          <w:rFonts w:ascii="Palatino Linotype" w:eastAsia="Times New Roman" w:hAnsi="Palatino Linotype" w:cs="Times New Roman"/>
          <w:color w:val="000000"/>
          <w:spacing w:val="-2"/>
          <w:lang w:eastAsia="hu-HU"/>
        </w:rPr>
        <w:t>A költségvetési szerv esetében az előzőekben foglalt körültekintő, gondos eljárás mellett feltétlenül figyelembe kell venni azt a tényt, hogy a végezhető feladatok körét, volumenét, a tevékenység jellegét a költségvetési szerv nem alakíthatja ki saját hatáskörében, mivel ezt a hatáskört az irányító (felügyeleti) szervnek van joga gyakorolni.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spacing w:val="-2"/>
          <w:lang w:eastAsia="hu-HU"/>
        </w:rPr>
      </w:pPr>
      <w:r w:rsidRPr="00D30A96">
        <w:rPr>
          <w:rFonts w:ascii="Palatino Linotype" w:eastAsia="Times New Roman" w:hAnsi="Palatino Linotype" w:cs="Times New Roman"/>
          <w:color w:val="000000"/>
          <w:spacing w:val="-2"/>
          <w:lang w:eastAsia="hu-HU"/>
        </w:rPr>
        <w:t>A költségvetési szervnek a Számviteli Politikája kialakítása során a tevékenység meghatározásánál és a feladatváltozás megjelenítésének szabályozásánál kell erre az alapelvre kitérni.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teljesség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gazdálkodónak könyvelnie kell mindazon gazdasági eseményeket, amelyeknek az eszközökre és a forrásokra, illetve a tárgyévi eredményre gyakorolt hatását a beszámolóban ki kell mutatni, ideértve azokat a gazdasági eseményeket is, amelyek az adott költségvetési évre vonatkoznak.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 xml:space="preserve">A költségvetési szervnél a teljesség elve azt jelenti, hogy el kell számolni a naptári évre szóló költségvetéshez kapcsolódó minden, ebben az időszakban teljesült kiadást és bevételt. Ez az alapelv meghatározza a költségvetési számvitel elszámolási szabályrendszerét. A gyakorlatban ez azt is jelenti, hogy a költségvetési számvitelben kizárólag a naptári évre vonatkozó pénzforgalmi szemlélet a meghatározó, ettől eltérni kizárólag az Áhsz.-ben nevesített esetekben lehetséges.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color w:val="000000"/>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valódiság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könyvvitelben rögzített és a költségvetési beszámolóban szereplő tételeknek a valóságban is megtalálhatóknak, bizonyíthatóknak, kívülállók által is megállapíthatóknak kell lenniük.</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Értékelésük meg kell hogy feleljen az Szt.-ben és az Áhsz.-ben előírt értékelési elveknek és az azokhoz kapcsolódó értékelési eljárásoknak.</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spacing w:val="2"/>
          <w:lang w:eastAsia="hu-HU"/>
        </w:rPr>
      </w:pPr>
      <w:r w:rsidRPr="00D30A96">
        <w:rPr>
          <w:rFonts w:ascii="Palatino Linotype" w:eastAsia="Times New Roman" w:hAnsi="Palatino Linotype" w:cs="Times New Roman"/>
          <w:color w:val="000000"/>
          <w:spacing w:val="2"/>
          <w:lang w:eastAsia="hu-HU"/>
        </w:rPr>
        <w:t>Az Szt. hatályos előírásai alapján megállapítható, hogy ennek az alapelvnek a szerepe felértékelődött, mivel az egyes értékelési eljárások a mérleg valódiságát tartják elsődlegesnek szemben az óvatosság elvével.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 </w:t>
      </w:r>
      <w:r w:rsidRPr="00D30A96">
        <w:rPr>
          <w:rFonts w:ascii="Palatino Linotype" w:eastAsia="Times New Roman" w:hAnsi="Palatino Linotype" w:cs="Times New Roman"/>
          <w:iCs/>
          <w:color w:val="000000"/>
          <w:lang w:eastAsia="hu-HU"/>
        </w:rPr>
        <w:t>költségvetési szervnek a valódiság elvét</w:t>
      </w:r>
      <w:r w:rsidRPr="00D30A96">
        <w:rPr>
          <w:rFonts w:ascii="Palatino Linotype" w:eastAsia="Times New Roman" w:hAnsi="Palatino Linotype" w:cs="Times New Roman"/>
          <w:color w:val="000000"/>
          <w:lang w:eastAsia="hu-HU"/>
        </w:rPr>
        <w:t xml:space="preserve"> az Szt.-ben rögzített szabályok szerint kell alkalmazni, az Áhsz. nem fogalmaz meg sajátos érvényesülési szabályokat.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valódiság elve a Számviteli Politikában két területen érvényesül</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eszközök és források értékelési szabályzatában,</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megbízható és valós összkép kialakítását szolgáló információkon belül az egyes értékelési eljárások alkalmazásánál.</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világosság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könyvvezetést és a költségvetési beszámolót áttekinthető, érthető, az Áhsz.-nek megfelelően rendezett formában kell elkészíteni.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 </w:t>
      </w:r>
      <w:r w:rsidRPr="00D30A96">
        <w:rPr>
          <w:rFonts w:ascii="Palatino Linotype" w:eastAsia="Times New Roman" w:hAnsi="Palatino Linotype" w:cs="Times New Roman"/>
          <w:iCs/>
          <w:color w:val="000000"/>
          <w:lang w:eastAsia="hu-HU"/>
        </w:rPr>
        <w:t>költségvetési szervnek a világosság elvét</w:t>
      </w:r>
      <w:r w:rsidRPr="00D30A96">
        <w:rPr>
          <w:rFonts w:ascii="Palatino Linotype" w:eastAsia="Times New Roman" w:hAnsi="Palatino Linotype" w:cs="Times New Roman"/>
          <w:color w:val="000000"/>
          <w:lang w:eastAsia="hu-HU"/>
        </w:rPr>
        <w:t xml:space="preserve"> az Szt.-ben rögzített szabályok szerint kell alkalmazni.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Számviteli Politikában ehhez az alapelvhez a bizonylatokkal kapcsolatos szabályozás kapcsolódik.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következetesség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költségvetési beszámoló tartalma és formája, valamint az azt alátámasztó könyvvezetés tekintetében az állandóságot és az összehasonlíthatóságot biztosítani kell.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 </w:t>
      </w:r>
      <w:r w:rsidRPr="00D30A96">
        <w:rPr>
          <w:rFonts w:ascii="Palatino Linotype" w:eastAsia="Times New Roman" w:hAnsi="Palatino Linotype" w:cs="Times New Roman"/>
          <w:iCs/>
          <w:color w:val="000000"/>
          <w:lang w:eastAsia="hu-HU"/>
        </w:rPr>
        <w:t>következetesség elve</w:t>
      </w:r>
      <w:r w:rsidRPr="00D30A96">
        <w:rPr>
          <w:rFonts w:ascii="Palatino Linotype" w:eastAsia="Times New Roman" w:hAnsi="Palatino Linotype" w:cs="Times New Roman"/>
          <w:color w:val="000000"/>
          <w:lang w:eastAsia="hu-HU"/>
        </w:rPr>
        <w:t xml:space="preserve"> a Számviteli Politika vonatkozásában azt is jelenti, hogy az abban megfogalmazott szabályokat, eljárásokat következetesen alkalmazni kell, tehát nem kell évente a Számviteli Politikát új alapokra helyezni, teljesen újraszabályozni. A költségvetési szervnek a következetesség elvét az Szt.-ben meghatározott szabályok szerint kell alkalmazni.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folytonosság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Az üzleti év nyitóadatainak meg kell egyezniük az előző üzleti év megfelelő záró adataival. Az egymást követő években az eszközök és a források értékelése, az eredmény számbavétele csak az Szt.-ben meghatározott szabályok szerint változhat.</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spacing w:val="-4"/>
          <w:lang w:eastAsia="hu-HU"/>
        </w:rPr>
      </w:pPr>
      <w:r w:rsidRPr="00D30A96">
        <w:rPr>
          <w:rFonts w:ascii="Palatino Linotype" w:eastAsia="Times New Roman" w:hAnsi="Palatino Linotype" w:cs="Times New Roman"/>
          <w:color w:val="000000"/>
          <w:spacing w:val="-4"/>
          <w:lang w:eastAsia="hu-HU"/>
        </w:rPr>
        <w:t xml:space="preserve">A költségvetési szervnek a folytonosság elvét általában az Szt.-ben rögzített szabályok szerint kell alkalmazni. Az Áhsz. eltérő szabálya szerint, ha az Országgyűlés vagy a Kormány az államháztartásról szóló 2011. évi CXCV. törvény 33. § (1) bekezdése alapján címrend-módosítást </w:t>
      </w:r>
      <w:r w:rsidRPr="00D30A96">
        <w:rPr>
          <w:rFonts w:ascii="Palatino Linotype" w:eastAsia="Times New Roman" w:hAnsi="Palatino Linotype" w:cs="Times New Roman"/>
          <w:color w:val="000000"/>
          <w:spacing w:val="-4"/>
          <w:lang w:eastAsia="hu-HU"/>
        </w:rPr>
        <w:lastRenderedPageBreak/>
        <w:t>rendel el, akkor a folytonosság alapelve az államháztartás központi alrendszerének egészében érvényesül.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Számviteli Politikában ezzel az alapelvvel kapcsolatban akkor szükséges intézkedni, ha a választható értékelési módot feltétlenül egyik évről a másikra meg kell változtatni. Ebben az esetben az értékelési mód megváltoztatásának hatását is meg kell állapítani, így ennek mérési feladatait is rögzíteni szükséges.</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Az összemérés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Az adott időszak eredményének meghatározásakor a tevékenységek adott időszaki teljesítéseinek elismert bevételeit és a bevételeknek megfelelő költségeit (ráfordításait) kell számításba venni, függetlenül a pénzügyi teljesítéstől. A bevételeknek és a költségeknek ahhoz az időszakhoz kell kapcsolódniuk, amikor azok gazdaságilag felmerültek.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color w:val="000000"/>
          <w:szCs w:val="24"/>
          <w:lang w:eastAsia="hu-HU"/>
        </w:rPr>
      </w:pPr>
      <w:r w:rsidRPr="00D30A96">
        <w:rPr>
          <w:rFonts w:ascii="Palatino Linotype" w:eastAsia="Times New Roman" w:hAnsi="Palatino Linotype" w:cs="Times New Roman"/>
          <w:lang w:eastAsia="hu-HU"/>
        </w:rPr>
        <w:t>A költségvetési szervnél az összemérés elve oly módon érvényesül, hogy a költségvetési és vállalkozási maradvány megállapításakor a bevételeket és kiadásokat tevékenységenként elkülönítve kell figyelembe venni. Ezt az elkülönítést a költségvetési számvitelben kell kialakítani.</w:t>
      </w:r>
      <w:r w:rsidRPr="00D30A96">
        <w:rPr>
          <w:rFonts w:ascii="Palatino Linotype" w:eastAsia="Times New Roman" w:hAnsi="Palatino Linotype" w:cs="Times New Roman"/>
          <w:color w:val="000000"/>
          <w:szCs w:val="24"/>
          <w:lang w:eastAsia="hu-HU"/>
        </w:rPr>
        <w:t xml:space="preserve">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color w:val="000000"/>
          <w:szCs w:val="24"/>
          <w:lang w:eastAsia="hu-HU"/>
        </w:rPr>
        <w:t>A költségvetési szerv nem végez vállalkozási tevékenységet, így ez az alapelv kizárólag az alaptevékenységi körbe tartozó feladatok körében tud érvényesülni.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Az óvatosság elve</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óvatosság elve azt jelenti az Szt. szerint, hogy nem lehet eredményt kimutatni akkor, ha az árbevétel, a bevétel pénzügyi realizálása bizonytalan. A tárgyévi eredmény meghatározása során az értékvesztés elszámolásával, a céltartalék képzésével kell figyelembe venni az előrelátható kockázatot és feltételezhető veszteséget akkor is, ha az az üzleti év mérlegének fordulónapja és a mérlegkészítés időpontja között vált ismertté. Az értékcsökkenéseket, az értékvesztéseket és a céltartalékokat el kell számolni, függetlenül attól, hogy az üzleti év eredménye nyereség vagy veszteség.</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szervnél az óvatosság elve érvényesítésekor a céltartalék képzésére vonatkozó szabályok nem alkalmazhatók.</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költségvetési szervnek is fontos foglalkozni az óvatosság elve alapján az egyes eszközök értékelésénél. A készletek, a követelések, a részesedések, értékpapírok és befektetések árfolyamcsökkenését, értékvesztését el kell számolni, a költségvetési beszámolóban a tényleges vagyoni értéket kell szerepeltetni.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bruttó elszámolás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bevételek és a költségek (ráfordítások), illetve a követelések és a kötelezettségek egymással szemben – az Szt.-ben szabályozott esetek kivételével – nem számolhatók el.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 </w:t>
      </w:r>
      <w:r w:rsidRPr="00D30A96">
        <w:rPr>
          <w:rFonts w:ascii="Palatino Linotype" w:eastAsia="Times New Roman" w:hAnsi="Palatino Linotype" w:cs="Times New Roman"/>
          <w:iCs/>
          <w:color w:val="000000"/>
          <w:lang w:eastAsia="hu-HU"/>
        </w:rPr>
        <w:t>költségvetési szervnél is fontos a bruttó elszámolási alapelvnek</w:t>
      </w:r>
      <w:r w:rsidRPr="00D30A96">
        <w:rPr>
          <w:rFonts w:ascii="Palatino Linotype" w:eastAsia="Times New Roman" w:hAnsi="Palatino Linotype" w:cs="Times New Roman"/>
          <w:color w:val="000000"/>
          <w:lang w:eastAsia="hu-HU"/>
        </w:rPr>
        <w:t xml:space="preserve"> az alkalmazása, mert arra is figyelemmel kell lenni, hogy a központi költségvetés is bruttó módon tartalmazza a bevételeket és a kiadásokat. Ennek következtében a nettósított zárszámadás a költségvetéssel összehasonlíthatatlan lenne. (De természetesen ugyanez a probléma jelentkezne az intézményi költségvetés és az éves költségvetési beszámoló vonatkozásában is.)</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Az egyedi értékelés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Az eszközöket és a kötelezettségeket a könyvvezetés és a beszámoló elkészítése során egyedileg kell rögzíteni és értékelni.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lastRenderedPageBreak/>
        <w:t xml:space="preserve">A </w:t>
      </w:r>
      <w:r w:rsidRPr="00D30A96">
        <w:rPr>
          <w:rFonts w:ascii="Palatino Linotype" w:eastAsia="Times New Roman" w:hAnsi="Palatino Linotype" w:cs="Times New Roman"/>
          <w:iCs/>
          <w:color w:val="000000"/>
          <w:lang w:eastAsia="hu-HU"/>
        </w:rPr>
        <w:t>költségvetési szervnek az egyedi értékelés alapelvét</w:t>
      </w:r>
      <w:r w:rsidRPr="00D30A96">
        <w:rPr>
          <w:rFonts w:ascii="Palatino Linotype" w:eastAsia="Times New Roman" w:hAnsi="Palatino Linotype" w:cs="Times New Roman"/>
          <w:color w:val="000000"/>
          <w:lang w:eastAsia="hu-HU"/>
        </w:rPr>
        <w:t xml:space="preserve"> az Szt.-ben rögzített szabályok szerint kell alkalmazni azzal az eltéréssel, hogy az egyszerűsített értékelés alá vont követeléseknél ez az értékelési elv sajátosan jelenik meg.</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color w:val="000000"/>
          <w:lang w:eastAsia="hu-HU"/>
        </w:rPr>
      </w:pPr>
      <w:r w:rsidRPr="00D30A96">
        <w:rPr>
          <w:rFonts w:ascii="Palatino Linotype" w:eastAsia="Times New Roman" w:hAnsi="Palatino Linotype" w:cs="Times New Roman"/>
          <w:color w:val="000000"/>
          <w:lang w:eastAsia="hu-HU"/>
        </w:rPr>
        <w:t xml:space="preserve">A Számviteli Politikában ez az alapelv az értékelési szabályzatban megfogalmazott eljárási szabályokon keresztül jelenik meg. </w:t>
      </w:r>
      <w:r w:rsidRPr="00D30A96">
        <w:rPr>
          <w:rFonts w:ascii="Palatino Linotype" w:eastAsia="Times New Roman" w:hAnsi="Palatino Linotype" w:cs="Times New Roman"/>
          <w:b/>
          <w:color w:val="000000"/>
          <w:lang w:eastAsia="hu-HU"/>
        </w:rPr>
        <w:t>A költségvetési szervnek nincs olyan bevétele, amelyhez tartozó követeléseket az egyszerűsített értékelés szerint lehetne értékelni, így ez az értékelési eljárás az adott költségvetési szervnél nem jelenhet meg.</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Az időbeli elhatárolás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Az olyan gazdasági események kihatásait, amelyek két vagy több üzleti évet is érintenek, az adott időszak bevételei és költségei között olyan arányban kell elszámolni, ahogyan az alapul szolgáló időszak és az elszámolási időszak között megoszlik.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szervnél ez az alapelv úgy érvényesül, hogy a költségvetési számvitelben nem lehet, de a pénzügyi számvitelben az alkalmazása kötelező.</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color w:val="000000"/>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tartalom elsődlegessége a formával szemben</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beszámolóban és az azt alátámasztó könyvvezetés során a gazdasági eseményeket, ügyleteket a tényleges gazdasági tartalmuknak megfelelően az Szt. alapelveihez, vonatkozó előírásaihoz igazodóan kell bemutatni, illetve annak megfelelően kell elszámolni.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költségvetési szervnek a tartalom elsődlegessége a formával szemben alapelvet az Szt.-ben rögzített szabályok szerint kell alkalmazni.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 </w:t>
      </w:r>
      <w:r w:rsidRPr="00D30A96">
        <w:rPr>
          <w:rFonts w:ascii="Palatino Linotype" w:eastAsia="Times New Roman" w:hAnsi="Palatino Linotype" w:cs="Times New Roman"/>
          <w:iCs/>
          <w:color w:val="000000"/>
          <w:lang w:eastAsia="hu-HU"/>
        </w:rPr>
        <w:t>költségvetési szervnek</w:t>
      </w:r>
      <w:r w:rsidRPr="00D30A96">
        <w:rPr>
          <w:rFonts w:ascii="Palatino Linotype" w:eastAsia="Times New Roman" w:hAnsi="Palatino Linotype" w:cs="Times New Roman"/>
          <w:color w:val="000000"/>
          <w:lang w:eastAsia="hu-HU"/>
        </w:rPr>
        <w:t xml:space="preserve"> a Számviteli Politika kialakításánál gondoskodni kell arról, hogy a </w:t>
      </w:r>
      <w:r w:rsidRPr="00D30A96">
        <w:rPr>
          <w:rFonts w:ascii="Palatino Linotype" w:eastAsia="Times New Roman" w:hAnsi="Palatino Linotype" w:cs="Times New Roman"/>
          <w:iCs/>
          <w:color w:val="000000"/>
          <w:lang w:eastAsia="hu-HU"/>
        </w:rPr>
        <w:t>gazdasági eseményeket a valóságos tartalmuk szerint</w:t>
      </w:r>
      <w:r w:rsidRPr="00D30A96">
        <w:rPr>
          <w:rFonts w:ascii="Palatino Linotype" w:eastAsia="Times New Roman" w:hAnsi="Palatino Linotype" w:cs="Times New Roman"/>
          <w:color w:val="000000"/>
          <w:lang w:eastAsia="hu-HU"/>
        </w:rPr>
        <w:t xml:space="preserve"> kell a számviteli elszámolások során megítélni és elszámolni. (Pl. bérelt ingatlanok felújítása és a bérleti díj között nettó elszámolás megtiltása stb.)</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lényegesség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spacing w:val="-2"/>
          <w:lang w:eastAsia="hu-HU"/>
        </w:rPr>
      </w:pPr>
      <w:r w:rsidRPr="00D30A96">
        <w:rPr>
          <w:rFonts w:ascii="Palatino Linotype" w:eastAsia="Times New Roman" w:hAnsi="Palatino Linotype" w:cs="Times New Roman"/>
          <w:color w:val="000000"/>
          <w:spacing w:val="-2"/>
          <w:lang w:eastAsia="hu-HU"/>
        </w:rPr>
        <w:t>Lényegesnek minősül a beszámoló szempontjából minden olyan információ, amelynek elhagyása vagy téves bemutatása – az észszerűség határain belül – befolyásolja a beszámoló adatait felhasználók döntéseit. Egy-egy tétel lényegessé minősítését más hasonló tételekkel összefüggésben kell megítélni. A költségvetési szervnek a lényegesség alapelvet az Szt.-ben rögzített szabályok szerint kell alkalmazni.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A költség-haszon összevetésének elve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spacing w:val="-2"/>
          <w:lang w:eastAsia="hu-HU"/>
        </w:rPr>
      </w:pPr>
      <w:r w:rsidRPr="00D30A96">
        <w:rPr>
          <w:rFonts w:ascii="Palatino Linotype" w:eastAsia="Times New Roman" w:hAnsi="Palatino Linotype" w:cs="Times New Roman"/>
          <w:color w:val="000000"/>
          <w:spacing w:val="-2"/>
          <w:lang w:eastAsia="hu-HU"/>
        </w:rPr>
        <w:t>A beszámolóban (a mérlegben, eredménykimutatásban, a kiegészítő mellékletben) nyilvánosságra hozott információk hasznosíthatósága (hasznossága) álljon arányban az információk előállításának költségeivel.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 </w:t>
      </w:r>
      <w:r w:rsidRPr="00D30A96">
        <w:rPr>
          <w:rFonts w:ascii="Palatino Linotype" w:eastAsia="Times New Roman" w:hAnsi="Palatino Linotype" w:cs="Times New Roman"/>
          <w:iCs/>
          <w:color w:val="000000"/>
          <w:lang w:eastAsia="hu-HU"/>
        </w:rPr>
        <w:t>költségvetési szervnél ezt a számviteli alapelvet</w:t>
      </w:r>
      <w:r w:rsidRPr="00D30A96">
        <w:rPr>
          <w:rFonts w:ascii="Palatino Linotype" w:eastAsia="Times New Roman" w:hAnsi="Palatino Linotype" w:cs="Times New Roman"/>
          <w:color w:val="000000"/>
          <w:lang w:eastAsia="hu-HU"/>
        </w:rPr>
        <w:t xml:space="preserve"> a jogszabályok által előírt információszolgáltatások esetében </w:t>
      </w:r>
      <w:r w:rsidRPr="00D30A96">
        <w:rPr>
          <w:rFonts w:ascii="Palatino Linotype" w:eastAsia="Times New Roman" w:hAnsi="Palatino Linotype" w:cs="Times New Roman"/>
          <w:iCs/>
          <w:color w:val="000000"/>
          <w:lang w:eastAsia="hu-HU"/>
        </w:rPr>
        <w:t>nem lehet figyelembe venni</w:t>
      </w:r>
      <w:r w:rsidRPr="00D30A96">
        <w:rPr>
          <w:rFonts w:ascii="Palatino Linotype" w:eastAsia="Times New Roman" w:hAnsi="Palatino Linotype" w:cs="Times New Roman"/>
          <w:color w:val="000000"/>
          <w:lang w:eastAsia="hu-HU"/>
        </w:rPr>
        <w:t>.</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4"/>
        </w:numPr>
        <w:spacing w:after="0" w:line="240" w:lineRule="auto"/>
        <w:contextualSpacing/>
        <w:jc w:val="both"/>
        <w:outlineLvl w:val="1"/>
        <w:rPr>
          <w:rFonts w:ascii="Palatino Linotype" w:eastAsia="Times New Roman" w:hAnsi="Palatino Linotype" w:cs="Times New Roman"/>
          <w:b/>
          <w:lang w:eastAsia="hu-HU"/>
        </w:rPr>
      </w:pPr>
      <w:bookmarkStart w:id="12" w:name="_Toc381619491"/>
      <w:r w:rsidRPr="00D30A96">
        <w:rPr>
          <w:rFonts w:ascii="Palatino Linotype" w:eastAsia="Times New Roman" w:hAnsi="Palatino Linotype" w:cs="Times New Roman"/>
          <w:b/>
          <w:lang w:eastAsia="hu-HU"/>
        </w:rPr>
        <w:t>A költségvetési és pénzügyi számvitel alkalmazásával kapcsolatos sajátos szabályok, előírások, módszerek</w:t>
      </w:r>
      <w:bookmarkEnd w:id="12"/>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szervnek az Áhsz.-ben foglaltaknak megfelelően kétféle számviteli nyilvántartást kell vezetni.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költségvetési bevételekre és kiadásokra a kapcsolódó előirányzatokra, kötelezettségvállalásra, végleges kötelezettségvállalásra és követelésekre a költségvetési </w:t>
      </w:r>
      <w:r w:rsidRPr="00D30A96">
        <w:rPr>
          <w:rFonts w:ascii="Palatino Linotype" w:eastAsia="Times New Roman" w:hAnsi="Palatino Linotype" w:cs="Times New Roman"/>
          <w:lang w:eastAsia="hu-HU"/>
        </w:rPr>
        <w:lastRenderedPageBreak/>
        <w:t>számvitelt, míg a tevékenység eredményének és a vagyon nyilvántartására pénzügyi számvitelt kell vezetni egy rendszeren belül.</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Emiatt egyes gazdasági eseményeket (a pénzforgalomhoz kapcsolódó) mind a két számvitelben rögzíteni kell. </w:t>
      </w:r>
    </w:p>
    <w:p w:rsidR="00D30A96" w:rsidRPr="00D30A96" w:rsidRDefault="00D30A96" w:rsidP="00D30A96">
      <w:pPr>
        <w:shd w:val="clear" w:color="auto" w:fill="FFFFFF"/>
        <w:spacing w:after="0" w:line="240" w:lineRule="auto"/>
        <w:rPr>
          <w:rFonts w:ascii="Arial" w:eastAsia="Times New Roman" w:hAnsi="Arial" w:cs="Arial"/>
          <w:color w:val="373A3C"/>
          <w:sz w:val="21"/>
          <w:szCs w:val="21"/>
          <w:lang w:eastAsia="hu-HU"/>
        </w:rPr>
      </w:pPr>
    </w:p>
    <w:p w:rsidR="00D30A96" w:rsidRPr="00D30A96" w:rsidRDefault="00D30A96" w:rsidP="00D30A96">
      <w:pPr>
        <w:shd w:val="clear" w:color="auto" w:fill="FFFFFF"/>
        <w:spacing w:after="0" w:line="240" w:lineRule="auto"/>
        <w:rPr>
          <w:rFonts w:ascii="Palatino Linotype" w:eastAsia="Times New Roman" w:hAnsi="Palatino Linotype" w:cs="Arial"/>
          <w:lang w:eastAsia="hu-HU"/>
        </w:rPr>
      </w:pPr>
      <w:r w:rsidRPr="00D30A96">
        <w:rPr>
          <w:rFonts w:ascii="Palatino Linotype" w:eastAsia="Times New Roman" w:hAnsi="Palatino Linotype" w:cs="Arial"/>
          <w:lang w:eastAsia="hu-HU"/>
        </w:rPr>
        <w:t>Az ASP rendszer az önkormányzatoknak egységes felületen, felhőalapú szolgáltatásként teszi elérhetővé a feladataik ellátásához szükséges alkalmazásokat, így biztosítva az ügyfelek hatékony kiszolgálását.</w:t>
      </w:r>
    </w:p>
    <w:p w:rsidR="00D30A96" w:rsidRPr="00D30A96" w:rsidRDefault="00D30A96" w:rsidP="00D30A96">
      <w:pPr>
        <w:shd w:val="clear" w:color="auto" w:fill="FFFFFF"/>
        <w:spacing w:after="0" w:line="240" w:lineRule="auto"/>
        <w:rPr>
          <w:rFonts w:ascii="Palatino Linotype" w:eastAsia="Times New Roman" w:hAnsi="Palatino Linotype" w:cs="Arial"/>
          <w:color w:val="373A3C"/>
          <w:lang w:eastAsia="hu-HU"/>
        </w:rPr>
      </w:pPr>
    </w:p>
    <w:p w:rsidR="00D30A96" w:rsidRPr="00D30A96" w:rsidRDefault="00D30A96" w:rsidP="00D30A96">
      <w:pPr>
        <w:spacing w:after="0" w:line="240" w:lineRule="auto"/>
        <w:rPr>
          <w:rFonts w:ascii="Palatino Linotype" w:eastAsia="Times New Roman" w:hAnsi="Palatino Linotype" w:cs="Arial"/>
          <w:color w:val="000000"/>
          <w:lang w:eastAsia="hu-HU"/>
        </w:rPr>
      </w:pPr>
      <w:r w:rsidRPr="00D30A96">
        <w:rPr>
          <w:rFonts w:ascii="Palatino Linotype" w:eastAsia="Times New Roman" w:hAnsi="Palatino Linotype" w:cs="Arial"/>
          <w:color w:val="000000"/>
          <w:lang w:eastAsia="hu-HU"/>
        </w:rPr>
        <w:t>Az Mötv. 114. § (1) bekezdése szerint a helyi önkormányzatnak olyan informatikai rendszert kell működtetni, amely biztosítja a feladatellátás egységes szabályok szerinti elvégzését és az állami informatikai rendszerrel való összekapcsolhatóságát. Mindez a folyamatos pénzügyi ellenőrzés eszközeként is szolgál. </w:t>
      </w:r>
      <w:r w:rsidRPr="00D30A96">
        <w:rPr>
          <w:rFonts w:ascii="Palatino Linotype" w:eastAsia="Times New Roman" w:hAnsi="Palatino Linotype" w:cs="Arial"/>
          <w:color w:val="000000"/>
          <w:lang w:eastAsia="hu-HU"/>
        </w:rPr>
        <w:br/>
        <w:t>A megvalósítás érdekében az önkormányzatnak csatlakozni</w:t>
      </w:r>
      <w:r w:rsidR="00BB299E">
        <w:rPr>
          <w:rFonts w:ascii="Palatino Linotype" w:eastAsia="Times New Roman" w:hAnsi="Palatino Linotype" w:cs="Arial"/>
          <w:color w:val="000000"/>
          <w:lang w:eastAsia="hu-HU"/>
        </w:rPr>
        <w:t xml:space="preserve"> </w:t>
      </w:r>
      <w:r w:rsidRPr="00D30A96">
        <w:rPr>
          <w:rFonts w:ascii="Palatino Linotype" w:eastAsia="Times New Roman" w:hAnsi="Palatino Linotype" w:cs="Arial"/>
          <w:color w:val="000000"/>
          <w:lang w:eastAsia="hu-HU"/>
        </w:rPr>
        <w:t>kell</w:t>
      </w:r>
      <w:r w:rsidR="00BB299E">
        <w:rPr>
          <w:rFonts w:ascii="Palatino Linotype" w:eastAsia="Times New Roman" w:hAnsi="Palatino Linotype" w:cs="Arial"/>
          <w:color w:val="000000"/>
          <w:lang w:eastAsia="hu-HU"/>
        </w:rPr>
        <w:t>ett</w:t>
      </w:r>
      <w:r w:rsidRPr="00D30A96">
        <w:rPr>
          <w:rFonts w:ascii="Palatino Linotype" w:eastAsia="Times New Roman" w:hAnsi="Palatino Linotype" w:cs="Arial"/>
          <w:color w:val="000000"/>
          <w:lang w:eastAsia="hu-HU"/>
        </w:rPr>
        <w:t xml:space="preserve"> ahhoz a számítástechnikai hálózaton keresztül távoli alkalmazás-szolgáltatást nyújtó elektronikus információs hálózathoz, amelyet az állam ennek érdekében működtet. Ez az ASP-rendszer, melyhez adattárház kapcsolódik. </w:t>
      </w:r>
      <w:r w:rsidRPr="00D30A96">
        <w:rPr>
          <w:rFonts w:ascii="Palatino Linotype" w:eastAsia="Times New Roman" w:hAnsi="Palatino Linotype" w:cs="Arial"/>
          <w:color w:val="000000"/>
          <w:lang w:eastAsia="hu-HU"/>
        </w:rPr>
        <w:br/>
        <w:t>Az Mötv. fenti rendelkezése alapján alkotta meg a Kormány a 257/2016. (VIII.31.) Korm. rendeletet az önkormányzati ASP-rendszerről. A Kormányrendelet értelmében a Kormány az ASP-rendszert a Magyar Államkincstár útján működteti.</w:t>
      </w:r>
      <w:r w:rsidRPr="00D30A96">
        <w:rPr>
          <w:rFonts w:ascii="Palatino Linotype" w:eastAsia="Times New Roman" w:hAnsi="Palatino Linotype" w:cs="Arial"/>
          <w:color w:val="000000"/>
          <w:lang w:eastAsia="hu-HU"/>
        </w:rPr>
        <w:br/>
      </w:r>
      <w:r w:rsidRPr="00D30A96">
        <w:rPr>
          <w:rFonts w:ascii="Palatino Linotype" w:eastAsia="Times New Roman" w:hAnsi="Palatino Linotype" w:cs="Arial"/>
          <w:b/>
          <w:bCs/>
          <w:i/>
          <w:iCs/>
          <w:color w:val="000000"/>
          <w:lang w:eastAsia="hu-HU"/>
        </w:rPr>
        <w:t>A szakrendszerek a következők:</w:t>
      </w:r>
      <w:r w:rsidRPr="00D30A96">
        <w:rPr>
          <w:rFonts w:ascii="Palatino Linotype" w:eastAsia="Times New Roman" w:hAnsi="Palatino Linotype" w:cs="Arial"/>
          <w:color w:val="000000"/>
          <w:lang w:eastAsia="hu-HU"/>
        </w:rPr>
        <w:br/>
        <w:t>a) iratkezelő rendszer,</w:t>
      </w:r>
      <w:r w:rsidRPr="00D30A96">
        <w:rPr>
          <w:rFonts w:ascii="Palatino Linotype" w:eastAsia="Times New Roman" w:hAnsi="Palatino Linotype" w:cs="Arial"/>
          <w:color w:val="000000"/>
          <w:lang w:eastAsia="hu-HU"/>
        </w:rPr>
        <w:br/>
        <w:t>b) önkormányzati települési portál rendszer,</w:t>
      </w:r>
      <w:r w:rsidRPr="00D30A96">
        <w:rPr>
          <w:rFonts w:ascii="Palatino Linotype" w:eastAsia="Times New Roman" w:hAnsi="Palatino Linotype" w:cs="Arial"/>
          <w:color w:val="000000"/>
          <w:lang w:eastAsia="hu-HU"/>
        </w:rPr>
        <w:br/>
        <w:t>c) elektronikus ügyintézési portál rendszer (elektronikus űrlap szolgáltatással),</w:t>
      </w:r>
      <w:r w:rsidRPr="00D30A96">
        <w:rPr>
          <w:rFonts w:ascii="Palatino Linotype" w:eastAsia="Times New Roman" w:hAnsi="Palatino Linotype" w:cs="Arial"/>
          <w:color w:val="000000"/>
          <w:lang w:eastAsia="hu-HU"/>
        </w:rPr>
        <w:br/>
        <w:t>d) gazdálkodási rendszer,</w:t>
      </w:r>
      <w:r w:rsidRPr="00D30A96">
        <w:rPr>
          <w:rFonts w:ascii="Palatino Linotype" w:eastAsia="Times New Roman" w:hAnsi="Palatino Linotype" w:cs="Arial"/>
          <w:color w:val="000000"/>
          <w:lang w:eastAsia="hu-HU"/>
        </w:rPr>
        <w:br/>
        <w:t>e) ingatlanvagyon-kataszter rendszer,</w:t>
      </w:r>
      <w:r w:rsidRPr="00D30A96">
        <w:rPr>
          <w:rFonts w:ascii="Palatino Linotype" w:eastAsia="Times New Roman" w:hAnsi="Palatino Linotype" w:cs="Arial"/>
          <w:color w:val="000000"/>
          <w:lang w:eastAsia="hu-HU"/>
        </w:rPr>
        <w:br/>
        <w:t>f) önkormányzati adórendszer,</w:t>
      </w:r>
      <w:r w:rsidRPr="00D30A96">
        <w:rPr>
          <w:rFonts w:ascii="Palatino Linotype" w:eastAsia="Times New Roman" w:hAnsi="Palatino Linotype" w:cs="Arial"/>
          <w:color w:val="000000"/>
          <w:lang w:eastAsia="hu-HU"/>
        </w:rPr>
        <w:br/>
        <w:t>g) ipar- és kereskedelmi rendszer,</w:t>
      </w:r>
      <w:r w:rsidRPr="00D30A96">
        <w:rPr>
          <w:rFonts w:ascii="Palatino Linotype" w:eastAsia="Times New Roman" w:hAnsi="Palatino Linotype" w:cs="Arial"/>
          <w:color w:val="000000"/>
          <w:lang w:eastAsia="hu-HU"/>
        </w:rPr>
        <w:br/>
        <w:t>h) hagyatéki leltár rendszer.</w:t>
      </w:r>
      <w:r w:rsidRPr="00D30A96">
        <w:rPr>
          <w:rFonts w:ascii="Palatino Linotype" w:eastAsia="Times New Roman" w:hAnsi="Palatino Linotype" w:cs="Arial"/>
          <w:color w:val="000000"/>
          <w:lang w:eastAsia="hu-HU"/>
        </w:rPr>
        <w:br/>
      </w:r>
      <w:r w:rsidRPr="00D30A96">
        <w:rPr>
          <w:rFonts w:ascii="Palatino Linotype" w:eastAsia="Times New Roman" w:hAnsi="Palatino Linotype" w:cs="Arial"/>
          <w:color w:val="000000"/>
          <w:lang w:eastAsia="hu-HU"/>
        </w:rPr>
        <w:br/>
        <w:t>Mindezekhez tartozik egy olyan keretrendszer, amely biztosítja az egységes felületet és hozzáférést, az egységes felhasználó- és jogosultságkezelést, valamint a rendszerszintű menedzsment (üzleti) funkciók elérését. Tartozik továbbá hozzá olyan támogató rendszer, amely tartalmazza a napi adminisztratív, ügyfélszolgálati és működtetési feladatokat rögzítő alkalmazásokat.</w:t>
      </w:r>
      <w:r w:rsidRPr="00D30A96">
        <w:rPr>
          <w:rFonts w:ascii="Palatino Linotype" w:eastAsia="Times New Roman" w:hAnsi="Palatino Linotype" w:cs="Arial"/>
          <w:color w:val="000000"/>
          <w:lang w:eastAsia="hu-HU"/>
        </w:rPr>
        <w:br/>
        <w:t>Az önkormányzati ASP-rendszert úgy kellett kialakítani, hogy az egyes szakrendszerekben tárolt adatokhoz csak az adatgazda helyi önkormányzat férjen hozzá. </w:t>
      </w:r>
      <w:r w:rsidRPr="00D30A96">
        <w:rPr>
          <w:rFonts w:ascii="Palatino Linotype" w:eastAsia="Times New Roman" w:hAnsi="Palatino Linotype" w:cs="Arial"/>
          <w:color w:val="000000"/>
          <w:lang w:eastAsia="hu-HU"/>
        </w:rPr>
        <w:br/>
        <w:t xml:space="preserve">Az  ASP-be való belépés egyik alapfeltétele az Ibv-nek való teljes megfelelés, révén, hogy a program résztvevőinek minden egyes munkaállomásáról elérhető a kormányzati szerverközpont (felhő). Ez azt jelenti, hogy a felhasználó oldali csatlakozó számítógépek biztonsági kockázatai egyben a kormányzati szolgáltatásra is veszélyt jelenthetnek. Erre tekintettel a csatlakozást támogató felkészülési időszak egyik fontos feladata a helyi biztonsági feltételek megteremtése volt.  </w:t>
      </w:r>
    </w:p>
    <w:p w:rsidR="00D30A96" w:rsidRPr="00D30A96" w:rsidRDefault="00D30A96" w:rsidP="00D30A96">
      <w:pPr>
        <w:spacing w:after="0" w:line="240" w:lineRule="auto"/>
        <w:rPr>
          <w:rFonts w:ascii="Palatino Linotype" w:eastAsia="Times New Roman" w:hAnsi="Palatino Linotype" w:cs="Arial"/>
          <w:color w:val="000000"/>
          <w:lang w:eastAsia="hu-HU"/>
        </w:rPr>
      </w:pPr>
      <w:r w:rsidRPr="00D30A96">
        <w:rPr>
          <w:rFonts w:ascii="Palatino Linotype" w:eastAsia="Times New Roman" w:hAnsi="Palatino Linotype" w:cs="Arial"/>
          <w:color w:val="000000"/>
          <w:lang w:eastAsia="hu-HU"/>
        </w:rPr>
        <w:t xml:space="preserve">Az állami és önkormányzati szervek elektronikus információbiztonságáról szóló 2013. évi L. törvény (Ibv.) rendelkezéseinek megfelelő adatvédelmi, információ-biztonsági rendszer kialakítása, biztosítása az ASP bevezetéséig, a megvalósításig szükséges és dokumentálandó kötelezettség volt. Ehhez folyamatosan alkalmazni kell megfelelő végzettséggel rendelkező </w:t>
      </w:r>
      <w:r w:rsidRPr="00D30A96">
        <w:rPr>
          <w:rFonts w:ascii="Palatino Linotype" w:eastAsia="Times New Roman" w:hAnsi="Palatino Linotype" w:cs="Arial"/>
          <w:color w:val="000000"/>
          <w:lang w:eastAsia="hu-HU"/>
        </w:rPr>
        <w:lastRenderedPageBreak/>
        <w:t>információ-biztonsági szakembert is. </w:t>
      </w:r>
      <w:r w:rsidRPr="00D30A96">
        <w:rPr>
          <w:rFonts w:ascii="Palatino Linotype" w:eastAsia="Times New Roman" w:hAnsi="Palatino Linotype" w:cs="Arial"/>
          <w:color w:val="000000"/>
          <w:lang w:eastAsia="hu-HU"/>
        </w:rPr>
        <w:br/>
      </w:r>
      <w:r w:rsidRPr="00D30A96">
        <w:rPr>
          <w:rFonts w:ascii="Palatino Linotype" w:eastAsia="Times New Roman" w:hAnsi="Palatino Linotype" w:cs="Arial"/>
          <w:color w:val="000000"/>
          <w:lang w:eastAsia="hu-HU"/>
        </w:rPr>
        <w:br/>
        <w:t>Az önkormányzati ASP-rendszer alapinfrastruktúra üzemeltetője a Nemzeti Infokommunikációs Szolgáltató Zrt. (NISZ Zrt.) </w:t>
      </w:r>
      <w:r w:rsidRPr="00D30A96">
        <w:rPr>
          <w:rFonts w:ascii="Palatino Linotype" w:eastAsia="Times New Roman" w:hAnsi="Palatino Linotype" w:cs="Arial"/>
          <w:color w:val="000000"/>
          <w:lang w:eastAsia="hu-HU"/>
        </w:rPr>
        <w:br/>
      </w:r>
      <w:r w:rsidRPr="00D30A96">
        <w:rPr>
          <w:rFonts w:ascii="Palatino Linotype" w:eastAsia="Times New Roman" w:hAnsi="Palatino Linotype" w:cs="Arial"/>
          <w:color w:val="000000"/>
          <w:lang w:eastAsia="hu-HU"/>
        </w:rPr>
        <w:br/>
        <w:t>Az ASP-rendszerhez a Korm. rendelet szerint rendszercsatlakozással vagy az adatok átadását lehetővé tevő interfészes csatlakozással (interfész kiépítésével) lehet csatlakozni.</w:t>
      </w:r>
      <w:r w:rsidRPr="00D30A96">
        <w:rPr>
          <w:rFonts w:ascii="Palatino Linotype" w:eastAsia="Times New Roman" w:hAnsi="Palatino Linotype" w:cs="Arial"/>
          <w:color w:val="000000"/>
          <w:lang w:eastAsia="hu-HU"/>
        </w:rPr>
        <w:br/>
        <w:t>Rendszercsatlakozással az önkormányzat csatlakozott a Magyar Államkincstár útján működtetett keret- és szakrendszerhez (biztosítva az önkormányzatnál a háttérfeltételeket).</w:t>
      </w:r>
      <w:r w:rsidRPr="00D30A96">
        <w:rPr>
          <w:rFonts w:ascii="Palatino Linotype" w:eastAsia="Times New Roman" w:hAnsi="Palatino Linotype" w:cs="Arial"/>
          <w:color w:val="000000"/>
          <w:lang w:eastAsia="hu-HU"/>
        </w:rPr>
        <w:br/>
      </w:r>
    </w:p>
    <w:p w:rsidR="00D30A96" w:rsidRPr="00D30A96" w:rsidRDefault="00D30A96" w:rsidP="00D30A96">
      <w:pPr>
        <w:shd w:val="clear" w:color="auto" w:fill="FFFFFF"/>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Arial"/>
          <w:color w:val="373A3C"/>
          <w:lang w:eastAsia="hu-HU"/>
        </w:rPr>
        <w:t xml:space="preserve">Az ASP rendszer tehát az önkormányzatnak egységes felületen, felhőalapú szolgáltatásként teszi elérhetővé a feladataik ellátásához szükséges alkalmazásokat.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color w:val="FF0000"/>
          <w:lang w:eastAsia="hu-HU"/>
        </w:rPr>
      </w:pP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KASZPER  (Központi Analitikai Számviteli-Pénzügyi Rendszer)</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 Feladata a helyi önkormányzat, nemzetiségi önkormányzat, társulás, térségi fejlesztési   tanács   és   az   általuk   irányított   költségvetési   szervek   (a   továbbiakban:  költségvetési szerv)  pénzügyi és számviteli feladatainak ellátása, különös tekintettel az államháztartásról szóló 2011. évi CXCV. törvény és annak végrehajtásáról szóló 368/2011.(XII. 31.) Kormányrendeletben, valamint az államháztartás számviteléről szóló 4/2013. (I.11.) Kormányrendeletben foglaltakra. Az új államháztartási számvitel szerinti költségvetési- és pénzügyi számviteli könyv-vezetését egy szoftveren belül, integráltan biztosítja. Az új Áhsz.  14. sz. melléklete szerinti részletező nyilvántartások vezetése – az abban foglalt adattartalommal – a TITÁN keretrendszer moduljai által lehetséges.</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követelések/kötelezettségvállalások,   illetve   az   egyéb   állományváltozások   és nyilvántartásba   vételi   bizonylatok   mindenben   megfelelnek   a   szigorú   számadás követelményeinek. A teljesítések nyilvántartásba vétele  utalványrendeleten történik, melynek adattartalma megfelel az államháztartási jogszabályokban támasztott követelményeknek. A pénzügy-számviteli integrált szoftver képes a követelések / kötelezettségvállalások és más fizetési kötelezettségek, kimenő- és bejövő számlák analitikus nyilvántartására, azok pénzügyi- és számviteli nyilvántartásba vételére. Funkciói között szerepel a kimenő számla készítése, bejövő számla érkeztetése,amelyek analitikus adataiból a vevő-szállító folyószámla vezetése, fizetési felszólítás készítése, illetve az automatikus egyenlegközlő levél rendszerből történő generálása biztosított. A kimenő számla tartalmában és formájában megfelel a 2007. évi CXXVII. törvényben (új ÁFA tv.), a 23/2014. (VI. 30.) NGM rendeletben foglalt követelményeknek. Elkészíthető vele az általános forgalmi adó bevallás analitika, biztosított a házipénztár kezelése, illetve bankforgalmi adatok átadására a bankterm</w:t>
      </w:r>
      <w:r w:rsidR="00925857">
        <w:rPr>
          <w:rFonts w:ascii="Palatino Linotype" w:eastAsia="Times New Roman" w:hAnsi="Palatino Linotype" w:cs="Times New Roman"/>
          <w:lang w:eastAsia="hu-HU"/>
        </w:rPr>
        <w:t>inál rendszer részére, valamint</w:t>
      </w:r>
      <w:r w:rsidRPr="00D30A96">
        <w:rPr>
          <w:rFonts w:ascii="Palatino Linotype" w:eastAsia="Times New Roman" w:hAnsi="Palatino Linotype" w:cs="Times New Roman"/>
          <w:lang w:eastAsia="hu-HU"/>
        </w:rPr>
        <w:t xml:space="preserve"> abból a banki adatok feldolgozása. A közhatalmi bevételekre vonatkozó követelések és az adók módjára behajtandó kisösszegű   követelések   értékelésére   –   a   kötelezettek   együttes   minősítése   alapján   –egyszerűsített   értékelési   eljárással,   csoportos   értékelésével   a   tapasztalati   mutatók kinyerhetők. Lehetővé teszi a pénzügyi- és számviteli könyvvitel párhuzamos, integrált vezetését, a személyi juttatások és azok közterheinek nyilvántartásba vételét – akár Kincstári adatok automatikus feldolgozásával is.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előirányzatok könyvelése esetében is lehetőség van az adatok külső fájlból történő beemelésére. Többdimenziós,  széleskörű   és  szabadon   variálható   listázási   és   lekérdezési lehetőségeket tartalmaz a modul és adatokat ad át az ETRIUSZ modul részére, amelyben a   –   Magyar   Államkincstár   K11   adatszolgáltató   moduljával   egyező   </w:t>
      </w:r>
      <w:r w:rsidRPr="00D30A96">
        <w:rPr>
          <w:rFonts w:ascii="Palatino Linotype" w:eastAsia="Times New Roman" w:hAnsi="Palatino Linotype" w:cs="Times New Roman"/>
          <w:lang w:eastAsia="hu-HU"/>
        </w:rPr>
        <w:lastRenderedPageBreak/>
        <w:t xml:space="preserve">formában-   és tartalommal – az időközi költségvetési jelentések és időszaki mérlegjelentések készülnek. Vagyis az időközi költségvetési jelentések és időszaki mérlegjelentések űrlapjának adattartalma a könyvelésből automatizálva könnyen kinyerhető. A  programba  a   munkafolyamatok   elvégzésének   megkönnyítése   érdekében   az államháztartás számviteléről szóló 4/2013. (I. 11.) kormányrendelet 17.sz.mellékletében foglalt kötelező egyezőségek már kvázi előzetes hibaszűrésként beépítésre kerültek, biztosítva   ezáltal   az   összefüggések   és   a   rendszer   zártságát,   az   információk megbízhatóságát. Számos egyedi lehetőséget kínál még a rendszer a felhasználók részére, pl. kontírkódok használata, csoportos utalványrendeletek készítése,  ügyelve az adatok helyes összefüggéseinek meghatározására. Integráltsága révén egy gazdasági esemény hatása egyszerre jelenik meg mind a könyvviteli   számlákon,   mind   a   költségvetési   számvitel   során   vezetett   nyilvántartási számlákon, így a havi és a negyedéves könyvviteli zárlat során nem kötelező azon feladatainak   elvégzése,   amelyek   elvégzését   az   integrált   számítógépes   rendszer   a gazdasági események rögzítésével biztosítja. A   modul   a   különböző   költségvetési   feladatok,   célok,   pályázatok   elkülönítésére részletező kódokon ad lehetőséget, ami a lekérdezéseknél nagyon jó elkülöníthetőséget biztosít.   A  részletező   kódok  a   különféle   gazdasági   események   alapján   keletkező könyvelési tételek mindegyikénél megjelennek, hiszen így lehet a lehető legpontosabban meghatározni, hogy az adott kiadás vagy bevétel milyen költségvetési rendeleti sorhoz tartozik. Valamennyi költségvetési és finanszírozási bevétel és kiadás elszámolása egyedi költségvetési előirányzat terhére/javára történik. Ez azt jelenti tehát, hogy a könyvelés során minden tételhez - egyes sajátos elszámolások kivételével - hozzá kell rendelni egy részletező   kódot,  amely   összhangban   van   a   közgyűlési   rendeletben   meghatározott költségvetési sorokkal. A pénzügyi-számviteli  bizonylatokon (kontírlapok, számlalapok, nyilvántartásba vételi bizonylatok) tetszőleges időszaki bontásban, a fenti részletező kódok segítségével tetszés szerint összesíthetők a gazdasági eseményeinek (Európai Uniós forrásból megvalósuló projektek, segélyezési jogcímek, stb...)A KASZPER-modul használatának technológiája webes felületre épül. A felületen a funkciók főbb csoportokra vannak osztva. Ezek mindegyike egy – egy kinyitható menüfa. A rendszer használatához a (2) Törzsadatok karbantartása menüpontban a megfelelő adatbázisokat   szükséges   feltölteni.   Az   adatbázis   sok   esetben   a   munkafolyamat megszakítása nélkül, menüpont ágból is bővíthető (pl.: új partner felvitele). Az egyszer már berögzített adatok újra berögzítésére nincs szükség. Ezután fel kell építeni a költségvetési szervek és a felhasználók hierarchiáját. Ezek elengedhetetlen előfeltételei a szakszerű működésnek. A jogosítások beállításával az adatokhoz való hozzáférés és azok módosítása jól leszabályozható.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Teljes körű pénzügyi és számviteli rendszer. Alkalmas minden pénzforgalmi művelet elvégzésére: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•teljes pénztárkezelés,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•bejövő, kimenő számlák kezelése,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•tartozások pontos nyilvántartása,</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•követelések, kötelezettségvállalások, más fizetési kötelezettségek nyilvántartása, •költségvetési keretek automatikus figyelése,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•banki műveletek, automatikus banki összevezetések,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•banki terminállal való közvetlen kapcsolat, banki kivonatok feldolgozása.</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 Számviteli funkciók: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•kontírozás,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•könyvelés,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 xml:space="preserve">•ÁFA analitika,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•beszámolók elkészítése,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•főkönyvek egységes kezelése,</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•egységes főkönyvi analitika,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•egyéb analitikák.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felületen a funkciók több csoportra vannak osztva. Ezek mindegyike egy – egy kinyitható menüfa.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csoportok: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KASZPER – Főmenü: A rendszer használatához a (2) Törzsadatok menüpontban a megfelelő adatokat fel kell tölteni. Ezen adatok közé sorolhatóak többek között: a devizanemek, a számlatükör, a mozgásnemek, áfa kategóriák, partnerek stb. Ezután fel kell építeni az intézményi és felhasználói hierarchiát. Ezek elengedhetetlenek a szakszerű működéshez. A működéshez szükséges adatok (utalványrendeletekkel és a partnerekkel kapcsolatos adatok) munka közben is felvihetőek. A szükséges beállítások és az adatok feltöltése után a bevételek és a kiadások az (1)Pénzügy bejövő/kimenő menücsoportban kezelhetőek. A bankkal kapcsolatos műveletek a (3) Bankfeldolgozás menüben végezhetőek el.  A bankszámlaszámok karbantartása a törzsadatoknál történik mind az intézményi mind a partnerekhez tartozó számlaszámokkal kapcsolatban.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pénzügyi   analitikához   tartozó   műveletek   a   (4)   Bevételi/Kiadási   analitika menücsoportban végezhetőek el. A készpénzforgalommal kapcsolatos műveletek (6) Pénztár) menüpontban hajthatóak végre. A számviteli műveletek a (9) Számvitel menüpontban végezhetőek el. A használhatóság érdekében a felületi elemek egységesek. A kötelezettségvállalások mindenhol egységes formában kereshetőek. Az utalványrendeletekre mindenhol lehet sorszám szerint keresni</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egyes modulok önmagukban is működőképesek, de együtt alkotják a teljes integrált önkormányzati gazdálkodási szakrendszert. Az adatok tárolása központi adatbázisban történik,  az  adatbázis   teljesen   konzisztens,   és   a   folyamat   lépések   kezelésének köszönhetően a rendszer használata csak egyszeres adatrögzítést igényel. A rendszer mind pénzügyileg, mind számvitelileg teljesen zárt. A rendszer több szintű jogosultságkezelési funkcióval rendelkezik.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első szintet a TITÁN   rendszer   szervezet   szervere   biztosítja,   ahol   strukturálisan   rögzíthetőek   az intézmények,   egyéb   szervezeti   egységek   (továbbiakban   intézmények)   adatai,   azok egymáshoz   viszonyított   állapota   (gazdasági   szervezettel   rendelkező   intézmények, gazdasági   szervezettel   nem   rendelkező   intézmények).   Az   intézményekbe   lehet felhasználókat rögzíteni, akik jogosultak lehetnek a modul használatára, a bejelentkezési azonosító, és jelszó itt kerül tárolásra.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második szint a modul menüjének szintje, ahol felhasználónként megadható, hogy ki melyik menüpontokhoz rendelkezik jogosultságokkal. Ez a szint definiálja a funkciók használatának módjait is, ugyanis az egyes felelősségi körök pontos megadása mellett meghatározható a felhasználóhoz rendelhető menüpontok listája (pl.: pénztárkezelés,utalványrendelet ellenjegyzése, utalványozása, stb.). </w:t>
      </w: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A harmadik szint az adatok szintje, itt meghatározható, hogy mely felhasználók melyik más felhasználók által felvitt adatokhoz férhetnek hozzá. Ez a hozzáférés megadható intézmények szintjén (pl. a gazdasági szervezettel nem rendelkező intézmények adatait egységesen láthatják a megfelelő jogkörrel rendelkező felhasználók), illetve user szinten is, amikor a felhasználónak arra adunk jogot, hogy egy másik felhasználó adatait láthassa. Ez akár egy intézményen belül is paraméterezhető. A rendszerben a törzsadatokhoz minden   intézmény   hozzáfér,   ám   létezhetnek   olyan   adatok   is,   amelyek   csak   egy intézményhez köthetőek, ezeket az intézmény kijelölt jogkörrel rendelkező szakembere kezelheti. (A számlatükör a rendszeren belül egységes, de az intézmény megadhatja a saját  7-es főkönyvi számla alábontást is). A rendszer pénzügyileg és számvitelileg is zárt. A könyvelés folyamatában alapvetően a pénzügyi rendszerben rögzített adatok feldolgozása játszik szerepet. A pénzügyi rendszer adatrögzítési   felülete   alkalmas   ún.   előkontírozási   adatok   rögzítésére,   amelyek   csak megfelelő   ellenőrzés   után   lesznek   véglegesek,   és   kerülnek   át   a   könyvelésbe.  A könyvelésbe átadás előtt még ezek az előzetes adatok szabadon módosíthatóak, azok az adatok pedig, amelyek egyszer már át lettek adva a könyvelésnek csak helyesbítő bizonylat kiállításával módosíthatóak. Ezáltal lehetőséget biztosítva az adatok többszörös ellenőrzésére. A kontírozás megfelelő felviteli felületei szigorú ellenőrzéseket tartalmaznak, és csak olyan  adatokat   rögzíthetnek   a   felhasználók,   amelyek   megfelelnek   a   számviteli előírásoknak   –   megfelelő   főkönyvi   számla   típusok,   bizonylat nem   –   ellenszámla, bizonylat nem – főkönyvi számla – mozgásnem – bontás összefüggések ellenőrzése már a felvitelnél megtörténik. A felvitt adatok SQL adatbázis kezelőben tárolódnak (mint a teljes rendszer minden más adata is), és így folyamatos kapcsolatot tartalmaznak az összes olyan bizonylattal, amelyek alapján a kontírozási adatokat rögzítették. A kontírozási tételek kapcsolódnak   az   utalványrendeletekhez,   az   utalványrendeletek   pedig   az   érkeztetett számlákhoz, pénztárbizonylatokhoz, a számlák pedig a kötelezettségvállalásokhoz. Ennek megfelelően az utalványrendeletek állapota menüpont folyamatos információt biztosít a könyvelési adatokról is, amely az adott utalványrendelethez tartozó kontírozási adatok megtekintését jelenti, tehát lehetőség nyílik a könyvelési tételek visszavezethetőségére analitikus szintig. A már lekönyvelt adatokon zárást a felhasználó kezdeményezhet a fent részletezett követelményeknek megfelelően. A lezárt időszakokba visszamenőleg adat nem rögzíthető, ennek feltételeit már a rögzítő felület is vizsgálja. Pénzforgalmi tételek könyvelési dátuma automatikusan a bankfeldolgozásból (banki nap), és a pénztárból (pénztári nap) kerül meghatározásra. A már egyszer tárolt adatokból az SQL adatbázis kezelő sajátosságainak köszönhetően tetszőleges lekérdezések, és kimutatások készíthetőek, az egyszer már rögzített adatok pedig a felülettől függetlenek, amelynek köszönhetően azok megjelenítése sokféleképpen történhet, és gyakorlatilag szabadon állítható, így a tényleges adattartalom, és annak megjelenítése egymást nem befolyásolja. Ugyanakkor biztosítja azt a követelményt is, hogy az adatokon változtatás nem lehetséges, csak azokon a felületeken keresztül, amikhez a felhasználó hozzáfér, és ekkor is a rendszer minden műveletet naplózva végez, amelynek jelen esetben két jelentősége is van: először is az adatok visszakövethetőek,tehát bármikor bármilyen adatállapot visszatekinthető, visszakereshető,  és szükség esetén vissza   is   állítható.   Másodsorban   folyamatos   monitorozást   tesz   lehetővé,   ugyanis   a rendszer minden ilyen esetben a változtatás időpontját, és a felhasználót is rögzíti, így az esetleges felelősségek mindig egyértelműen meghatározhatóak. A rendszer adatainak állapota a mező szintű naplózás alapján bármikor visszaállíthatóak.</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keepNext/>
        <w:spacing w:before="60" w:after="120" w:line="280" w:lineRule="atLeast"/>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lastRenderedPageBreak/>
        <w:t xml:space="preserve">ASP szakrendszerei: </w:t>
      </w:r>
    </w:p>
    <w:tbl>
      <w:tblPr>
        <w:tblStyle w:val="Rcsostblzat"/>
        <w:tblW w:w="849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6086"/>
      </w:tblGrid>
      <w:tr w:rsidR="00D30A96" w:rsidRPr="00D30A96" w:rsidTr="00D30A96">
        <w:trPr>
          <w:cantSplit/>
          <w:trHeight w:val="2251"/>
        </w:trPr>
        <w:tc>
          <w:tcPr>
            <w:tcW w:w="2410" w:type="dxa"/>
          </w:tcPr>
          <w:p w:rsidR="00D30A96" w:rsidRPr="00D30A96" w:rsidRDefault="00D30A96" w:rsidP="00D30A96">
            <w:pPr>
              <w:numPr>
                <w:ilvl w:val="1"/>
                <w:numId w:val="19"/>
              </w:numPr>
              <w:spacing w:before="60" w:after="120" w:line="280" w:lineRule="atLeast"/>
              <w:ind w:left="284" w:hanging="283"/>
              <w:jc w:val="both"/>
              <w:rPr>
                <w:rFonts w:ascii="Palatino Linotype" w:hAnsi="Palatino Linotype" w:cs="Times New Roman"/>
                <w:i/>
                <w:lang w:eastAsia="hu-HU"/>
              </w:rPr>
            </w:pPr>
            <w:r w:rsidRPr="00D30A96">
              <w:rPr>
                <w:rFonts w:ascii="Palatino Linotype" w:hAnsi="Palatino Linotype" w:cs="Times New Roman"/>
                <w:i/>
                <w:lang w:eastAsia="hu-HU"/>
              </w:rPr>
              <w:t>Adó szakrendszer</w:t>
            </w:r>
          </w:p>
          <w:p w:rsidR="00D30A96" w:rsidRPr="00D30A96" w:rsidRDefault="00D30A96" w:rsidP="00D30A96">
            <w:pPr>
              <w:spacing w:before="60" w:after="120" w:line="280" w:lineRule="atLeast"/>
              <w:jc w:val="both"/>
              <w:rPr>
                <w:rFonts w:ascii="Palatino Linotype" w:hAnsi="Palatino Linotype" w:cs="Times New Roman"/>
                <w:lang w:eastAsia="hu-HU"/>
              </w:rPr>
            </w:pPr>
          </w:p>
        </w:tc>
        <w:tc>
          <w:tcPr>
            <w:tcW w:w="6086" w:type="dxa"/>
            <w:vAlign w:val="center"/>
            <w:hideMark/>
          </w:tcPr>
          <w:p w:rsidR="00D30A96" w:rsidRPr="00D30A96" w:rsidRDefault="00D30A96" w:rsidP="00D30A96">
            <w:pPr>
              <w:spacing w:before="60" w:after="120" w:line="280" w:lineRule="atLeast"/>
              <w:jc w:val="both"/>
              <w:rPr>
                <w:rFonts w:ascii="Palatino Linotype" w:hAnsi="Palatino Linotype" w:cs="Times New Roman"/>
                <w:lang w:eastAsia="hu-HU"/>
              </w:rPr>
            </w:pPr>
            <w:r w:rsidRPr="00D30A96">
              <w:rPr>
                <w:rFonts w:ascii="Palatino Linotype" w:hAnsi="Palatino Linotype" w:cs="Times New Roman"/>
                <w:lang w:eastAsia="hu-HU"/>
              </w:rPr>
              <w:t>Az adórendszer feladata, hogy biztosítsa a települési önkormányzat hatáskörébe tartozó központi- és az önkormányzati adóhatóság hatáskörébe tartozó közteher, az adók módjára behajtandó köztartozások, díjak, valamint pótlékok, bírságok, továbbá az államigazgatási eljárási illeték nyilvántartását, elszámolását, kezelését, illetve az adókötelezettségek teljesítésével kapcsolatos ügyek elektronikus úton történő intézését.</w:t>
            </w:r>
          </w:p>
        </w:tc>
      </w:tr>
      <w:tr w:rsidR="00D30A96" w:rsidRPr="00D30A96" w:rsidTr="00D30A96">
        <w:trPr>
          <w:cantSplit/>
          <w:trHeight w:val="968"/>
        </w:trPr>
        <w:tc>
          <w:tcPr>
            <w:tcW w:w="2410" w:type="dxa"/>
          </w:tcPr>
          <w:p w:rsidR="00D30A96" w:rsidRPr="00D30A96" w:rsidRDefault="00D30A96" w:rsidP="00D30A96">
            <w:pPr>
              <w:numPr>
                <w:ilvl w:val="1"/>
                <w:numId w:val="19"/>
              </w:numPr>
              <w:spacing w:before="60" w:after="120" w:line="280" w:lineRule="atLeast"/>
              <w:ind w:left="284" w:hanging="283"/>
              <w:jc w:val="both"/>
              <w:rPr>
                <w:rFonts w:ascii="Palatino Linotype" w:hAnsi="Palatino Linotype" w:cs="Times New Roman"/>
                <w:lang w:eastAsia="hu-HU"/>
              </w:rPr>
            </w:pPr>
            <w:r w:rsidRPr="00D30A96">
              <w:rPr>
                <w:rFonts w:ascii="Palatino Linotype" w:hAnsi="Palatino Linotype" w:cs="Times New Roman"/>
                <w:i/>
                <w:lang w:eastAsia="hu-HU"/>
              </w:rPr>
              <w:t>Gazdálkodási</w:t>
            </w:r>
            <w:r w:rsidRPr="00D30A96">
              <w:rPr>
                <w:rFonts w:ascii="Palatino Linotype" w:hAnsi="Palatino Linotype" w:cs="Times New Roman"/>
                <w:lang w:eastAsia="hu-HU"/>
              </w:rPr>
              <w:t xml:space="preserve"> </w:t>
            </w:r>
            <w:r w:rsidRPr="00D30A96">
              <w:rPr>
                <w:rFonts w:ascii="Palatino Linotype" w:hAnsi="Palatino Linotype" w:cs="Times New Roman"/>
                <w:i/>
                <w:lang w:eastAsia="hu-HU"/>
              </w:rPr>
              <w:t>szakrendszer</w:t>
            </w:r>
          </w:p>
          <w:p w:rsidR="00D30A96" w:rsidRPr="00D30A96" w:rsidRDefault="00D30A96" w:rsidP="00D30A96">
            <w:pPr>
              <w:spacing w:before="60" w:after="120" w:line="280" w:lineRule="atLeast"/>
              <w:jc w:val="both"/>
              <w:rPr>
                <w:rFonts w:ascii="Palatino Linotype" w:hAnsi="Palatino Linotype" w:cs="Times New Roman"/>
                <w:lang w:eastAsia="hu-HU"/>
              </w:rPr>
            </w:pPr>
          </w:p>
        </w:tc>
        <w:tc>
          <w:tcPr>
            <w:tcW w:w="6086" w:type="dxa"/>
            <w:vAlign w:val="center"/>
            <w:hideMark/>
          </w:tcPr>
          <w:p w:rsidR="00D30A96" w:rsidRPr="00D30A96" w:rsidRDefault="00D30A96" w:rsidP="00D30A96">
            <w:pPr>
              <w:spacing w:before="60" w:after="120" w:line="280" w:lineRule="atLeast"/>
              <w:jc w:val="both"/>
              <w:rPr>
                <w:rFonts w:ascii="Palatino Linotype" w:hAnsi="Palatino Linotype" w:cs="Times New Roman"/>
                <w:lang w:eastAsia="hu-HU"/>
              </w:rPr>
            </w:pPr>
            <w:r w:rsidRPr="00D30A96">
              <w:rPr>
                <w:rFonts w:ascii="Palatino Linotype" w:hAnsi="Palatino Linotype" w:cs="Times New Roman"/>
                <w:lang w:eastAsia="hu-HU"/>
              </w:rPr>
              <w:t>A gazdálkodási rendszer feladata a helyi önkormányzatok, nemzetiségi önkormányzatok, társulások, térségi fejlesztési tanácsok és az irányításuk alá tartozó költségvetési szervek gazdálkodási tevékenységének támogatása.</w:t>
            </w:r>
          </w:p>
        </w:tc>
      </w:tr>
      <w:tr w:rsidR="00D30A96" w:rsidRPr="00D30A96" w:rsidTr="00D30A96">
        <w:trPr>
          <w:cantSplit/>
        </w:trPr>
        <w:tc>
          <w:tcPr>
            <w:tcW w:w="2410" w:type="dxa"/>
          </w:tcPr>
          <w:p w:rsidR="00D30A96" w:rsidRPr="00D30A96" w:rsidRDefault="00D30A96" w:rsidP="00D30A96">
            <w:pPr>
              <w:numPr>
                <w:ilvl w:val="1"/>
                <w:numId w:val="19"/>
              </w:numPr>
              <w:spacing w:before="60" w:after="120" w:line="280" w:lineRule="atLeast"/>
              <w:ind w:left="284" w:hanging="284"/>
              <w:jc w:val="both"/>
              <w:rPr>
                <w:rFonts w:ascii="Palatino Linotype" w:hAnsi="Palatino Linotype" w:cs="Times New Roman"/>
                <w:i/>
                <w:lang w:eastAsia="hu-HU"/>
              </w:rPr>
            </w:pPr>
            <w:r w:rsidRPr="00D30A96">
              <w:rPr>
                <w:rFonts w:ascii="Palatino Linotype" w:hAnsi="Palatino Linotype" w:cs="Times New Roman"/>
                <w:i/>
                <w:lang w:eastAsia="hu-HU"/>
              </w:rPr>
              <w:t>Ingatlan-vagyonkataszter szakrendszer (későbbiekben modul)</w:t>
            </w:r>
          </w:p>
          <w:p w:rsidR="00D30A96" w:rsidRPr="00D30A96" w:rsidRDefault="00D30A96" w:rsidP="00D30A96">
            <w:pPr>
              <w:spacing w:before="60" w:after="120" w:line="280" w:lineRule="atLeast"/>
              <w:jc w:val="both"/>
              <w:rPr>
                <w:rFonts w:ascii="Palatino Linotype" w:hAnsi="Palatino Linotype" w:cs="Times New Roman"/>
                <w:lang w:eastAsia="hu-HU"/>
              </w:rPr>
            </w:pPr>
          </w:p>
        </w:tc>
        <w:tc>
          <w:tcPr>
            <w:tcW w:w="6086" w:type="dxa"/>
            <w:vAlign w:val="center"/>
            <w:hideMark/>
          </w:tcPr>
          <w:p w:rsidR="00D30A96" w:rsidRPr="00D30A96" w:rsidRDefault="00D30A96" w:rsidP="00D30A96">
            <w:pPr>
              <w:spacing w:before="60" w:after="120" w:line="280" w:lineRule="atLeast"/>
              <w:jc w:val="both"/>
              <w:rPr>
                <w:rFonts w:ascii="Palatino Linotype" w:hAnsi="Palatino Linotype" w:cs="Times New Roman"/>
                <w:lang w:eastAsia="hu-HU"/>
              </w:rPr>
            </w:pPr>
            <w:r w:rsidRPr="00D30A96">
              <w:rPr>
                <w:rFonts w:ascii="Palatino Linotype" w:hAnsi="Palatino Linotype" w:cs="Times New Roman"/>
                <w:lang w:eastAsia="hu-HU"/>
              </w:rPr>
              <w:t>Az ingatlanvagyon-kataszter feladata, hogy biztosítsa az önkormányzatnak az önkormányzati tulajdonban lévő ingatlanok helyrajzi számon alapuló egységes szerkezetben történő egyedi nyilvántartását, amely magába foglalja a földterületet, a földfelszínen lévő épületet, építményt, valamint a földalatti közmű építményeket is.</w:t>
            </w:r>
          </w:p>
        </w:tc>
      </w:tr>
      <w:tr w:rsidR="00D30A96" w:rsidRPr="00D30A96" w:rsidTr="00D30A96">
        <w:trPr>
          <w:cantSplit/>
          <w:trHeight w:val="1131"/>
        </w:trPr>
        <w:tc>
          <w:tcPr>
            <w:tcW w:w="2410" w:type="dxa"/>
          </w:tcPr>
          <w:p w:rsidR="00D30A96" w:rsidRPr="00D30A96" w:rsidRDefault="00D30A96" w:rsidP="00D30A96">
            <w:pPr>
              <w:numPr>
                <w:ilvl w:val="1"/>
                <w:numId w:val="19"/>
              </w:numPr>
              <w:spacing w:before="60" w:after="120" w:line="280" w:lineRule="atLeast"/>
              <w:ind w:left="284" w:hanging="283"/>
              <w:jc w:val="both"/>
              <w:rPr>
                <w:rFonts w:ascii="Palatino Linotype" w:hAnsi="Palatino Linotype" w:cs="Times New Roman"/>
                <w:i/>
                <w:lang w:eastAsia="hu-HU"/>
              </w:rPr>
            </w:pPr>
            <w:r w:rsidRPr="00D30A96">
              <w:rPr>
                <w:rFonts w:ascii="Palatino Linotype" w:hAnsi="Palatino Linotype" w:cs="Times New Roman"/>
                <w:i/>
                <w:lang w:eastAsia="hu-HU"/>
              </w:rPr>
              <w:t>Iratkezelő szakrendszer</w:t>
            </w:r>
          </w:p>
          <w:p w:rsidR="00D30A96" w:rsidRPr="00D30A96" w:rsidRDefault="00D30A96" w:rsidP="00D30A96">
            <w:pPr>
              <w:spacing w:before="60" w:after="120" w:line="280" w:lineRule="atLeast"/>
              <w:jc w:val="both"/>
              <w:rPr>
                <w:rFonts w:ascii="Palatino Linotype" w:hAnsi="Palatino Linotype" w:cs="Times New Roman"/>
                <w:lang w:eastAsia="hu-HU"/>
              </w:rPr>
            </w:pPr>
          </w:p>
        </w:tc>
        <w:tc>
          <w:tcPr>
            <w:tcW w:w="6086" w:type="dxa"/>
            <w:vAlign w:val="center"/>
            <w:hideMark/>
          </w:tcPr>
          <w:p w:rsidR="00D30A96" w:rsidRPr="00D30A96" w:rsidRDefault="00D30A96" w:rsidP="00D30A96">
            <w:pPr>
              <w:spacing w:before="60" w:after="120" w:line="280" w:lineRule="atLeast"/>
              <w:jc w:val="both"/>
              <w:rPr>
                <w:rFonts w:ascii="Palatino Linotype" w:hAnsi="Palatino Linotype" w:cs="Times New Roman"/>
                <w:lang w:eastAsia="hu-HU"/>
              </w:rPr>
            </w:pPr>
            <w:r w:rsidRPr="00D30A96">
              <w:rPr>
                <w:rFonts w:ascii="Palatino Linotype" w:hAnsi="Palatino Linotype" w:cs="Times New Roman"/>
                <w:lang w:eastAsia="hu-HU"/>
              </w:rPr>
              <w:t>Az Iratkezelő alkalmazás feladata az önkormányzati iratkezelési és általános ügyintézési tevékenységek támogatása, legalább a vonatkozó jogszabályokban előírt funkcionalitás biztosításával. Gondoskodnia kell az iratok érkeztetéséről, iktatásáról, az iratok hollétének nyilvántartásáról, a megfelelő iratkezelési sablonok használatáról, az ügyintézési folyamatok támogatásáról és a megfelelő ügykövetésről. Szabványos kapcsolatokon keresztül iktatási feladatokat végez el a szakrendszerek számára, átadja az iktatási adatokat a szakrendszereknek, biztosítja a központi rendszer megfelelő funkcióinak használatát.</w:t>
            </w:r>
          </w:p>
          <w:p w:rsidR="00D30A96" w:rsidRPr="00D30A96" w:rsidRDefault="00D30A96" w:rsidP="00D30A96">
            <w:pPr>
              <w:spacing w:before="60" w:after="120" w:line="280" w:lineRule="atLeast"/>
              <w:jc w:val="both"/>
              <w:rPr>
                <w:rFonts w:ascii="Palatino Linotype" w:hAnsi="Palatino Linotype" w:cs="Times New Roman"/>
                <w:color w:val="888888"/>
                <w:lang w:eastAsia="hu-HU"/>
              </w:rPr>
            </w:pPr>
            <w:r w:rsidRPr="00D30A96">
              <w:rPr>
                <w:rFonts w:ascii="Palatino Linotype" w:hAnsi="Palatino Linotype" w:cs="Times New Roman"/>
                <w:lang w:eastAsia="hu-HU"/>
              </w:rPr>
              <w:t xml:space="preserve">Az iratkezelés összetett funkció, melynek kötelező és egyben az önkormányzat által igényelt része az iktatás. </w:t>
            </w:r>
          </w:p>
        </w:tc>
      </w:tr>
      <w:tr w:rsidR="00D30A96" w:rsidRPr="00D30A96" w:rsidTr="00D30A96">
        <w:trPr>
          <w:cantSplit/>
        </w:trPr>
        <w:tc>
          <w:tcPr>
            <w:tcW w:w="2410" w:type="dxa"/>
          </w:tcPr>
          <w:p w:rsidR="00D30A96" w:rsidRPr="00D30A96" w:rsidRDefault="00D30A96" w:rsidP="00D30A96">
            <w:pPr>
              <w:numPr>
                <w:ilvl w:val="1"/>
                <w:numId w:val="19"/>
              </w:numPr>
              <w:spacing w:before="60" w:after="120" w:line="280" w:lineRule="atLeast"/>
              <w:ind w:left="284" w:hanging="283"/>
              <w:jc w:val="both"/>
              <w:rPr>
                <w:rFonts w:ascii="Palatino Linotype" w:hAnsi="Palatino Linotype" w:cs="Times New Roman"/>
                <w:i/>
                <w:lang w:eastAsia="hu-HU"/>
              </w:rPr>
            </w:pPr>
            <w:r w:rsidRPr="00D30A96">
              <w:rPr>
                <w:rFonts w:ascii="Palatino Linotype" w:hAnsi="Palatino Linotype" w:cs="Times New Roman"/>
                <w:i/>
                <w:lang w:eastAsia="hu-HU"/>
              </w:rPr>
              <w:lastRenderedPageBreak/>
              <w:t>Portál rendszer</w:t>
            </w:r>
          </w:p>
          <w:p w:rsidR="00D30A96" w:rsidRPr="00D30A96" w:rsidRDefault="00D30A96" w:rsidP="00D30A96">
            <w:pPr>
              <w:spacing w:before="60" w:after="120" w:line="280" w:lineRule="atLeast"/>
              <w:jc w:val="both"/>
              <w:rPr>
                <w:rFonts w:ascii="Palatino Linotype" w:hAnsi="Palatino Linotype" w:cs="Times New Roman"/>
                <w:lang w:eastAsia="hu-HU"/>
              </w:rPr>
            </w:pPr>
          </w:p>
        </w:tc>
        <w:tc>
          <w:tcPr>
            <w:tcW w:w="6086" w:type="dxa"/>
            <w:vAlign w:val="center"/>
            <w:hideMark/>
          </w:tcPr>
          <w:p w:rsidR="00D30A96" w:rsidRPr="00D30A96" w:rsidRDefault="00D30A96" w:rsidP="00D30A96">
            <w:pPr>
              <w:spacing w:before="60" w:after="120" w:line="280" w:lineRule="atLeast"/>
              <w:jc w:val="both"/>
              <w:rPr>
                <w:rFonts w:ascii="Palatino Linotype" w:hAnsi="Palatino Linotype" w:cs="Times New Roman"/>
                <w:lang w:eastAsia="hu-HU"/>
              </w:rPr>
            </w:pPr>
            <w:r w:rsidRPr="00D30A96">
              <w:rPr>
                <w:rFonts w:ascii="Palatino Linotype" w:hAnsi="Palatino Linotype" w:cs="Times New Roman"/>
                <w:lang w:eastAsia="hu-HU"/>
              </w:rPr>
              <w:t>Az önkormányzati Települési Portál feladata - az Internetről nyilvánosan elérhető módon - az önkormányzatra, valamint az általa nyújtott szolgáltatásokra, ügyintézésre vonatkozó információk strukturált, kereshető formában történő biztosítása az ügyfelek számára.</w:t>
            </w:r>
          </w:p>
          <w:p w:rsidR="00D30A96" w:rsidRPr="00D30A96" w:rsidRDefault="00D30A96" w:rsidP="00D30A96">
            <w:pPr>
              <w:spacing w:before="60" w:after="120" w:line="280" w:lineRule="atLeast"/>
              <w:jc w:val="both"/>
              <w:rPr>
                <w:rFonts w:ascii="Palatino Linotype" w:hAnsi="Palatino Linotype" w:cs="Times New Roman"/>
                <w:lang w:eastAsia="hu-HU"/>
              </w:rPr>
            </w:pPr>
            <w:r w:rsidRPr="00D30A96">
              <w:rPr>
                <w:rFonts w:ascii="Palatino Linotype" w:hAnsi="Palatino Linotype" w:cs="Times New Roman"/>
                <w:lang w:eastAsia="hu-HU"/>
              </w:rPr>
              <w:t>A portál rendszer magában foglal egy Önkormányzati Hivatali Portál (ELÜGY Portál) elektronikus ügyintézési felületet, amely lehetővé teszi a lakossági és vállalkozói elektronikus ügyintézést az alábbiakra kiterjedően:</w:t>
            </w:r>
          </w:p>
          <w:p w:rsidR="00D30A96" w:rsidRPr="00D30A96" w:rsidRDefault="00D30A96" w:rsidP="00D30A96">
            <w:pPr>
              <w:numPr>
                <w:ilvl w:val="0"/>
                <w:numId w:val="20"/>
              </w:numPr>
              <w:spacing w:before="60" w:after="120" w:line="280" w:lineRule="atLeast"/>
              <w:ind w:left="743" w:hanging="284"/>
              <w:jc w:val="both"/>
              <w:rPr>
                <w:rFonts w:ascii="Palatino Linotype" w:hAnsi="Palatino Linotype" w:cs="Times New Roman"/>
                <w:lang w:eastAsia="hu-HU"/>
              </w:rPr>
            </w:pPr>
            <w:r w:rsidRPr="00D30A96">
              <w:rPr>
                <w:rFonts w:ascii="Palatino Linotype" w:hAnsi="Palatino Linotype" w:cs="Times New Roman"/>
                <w:lang w:eastAsia="hu-HU"/>
              </w:rPr>
              <w:t>elektronikus ügyindítás az Adó és Ipar és kereskedelmi szakrendszerek meghatározott ügytípusaira;</w:t>
            </w:r>
          </w:p>
          <w:p w:rsidR="00D30A96" w:rsidRPr="00D30A96" w:rsidRDefault="00D30A96" w:rsidP="00D30A96">
            <w:pPr>
              <w:numPr>
                <w:ilvl w:val="0"/>
                <w:numId w:val="20"/>
              </w:numPr>
              <w:spacing w:before="60" w:after="120" w:line="280" w:lineRule="atLeast"/>
              <w:ind w:left="743" w:hanging="284"/>
              <w:jc w:val="both"/>
              <w:rPr>
                <w:rFonts w:ascii="Palatino Linotype" w:hAnsi="Palatino Linotype" w:cs="Times New Roman"/>
                <w:lang w:eastAsia="hu-HU"/>
              </w:rPr>
            </w:pPr>
            <w:r w:rsidRPr="00D30A96">
              <w:rPr>
                <w:rFonts w:ascii="Palatino Linotype" w:hAnsi="Palatino Linotype" w:cs="Times New Roman"/>
                <w:lang w:eastAsia="hu-HU"/>
              </w:rPr>
              <w:t xml:space="preserve">Ügyfélkapu viszontazonosítást követően az </w:t>
            </w:r>
            <w:r w:rsidRPr="00D30A96">
              <w:rPr>
                <w:rFonts w:ascii="Palatino Linotype" w:eastAsia="Calibri" w:hAnsi="Palatino Linotype" w:cs="Times New Roman"/>
                <w:lang w:eastAsia="hu-HU"/>
              </w:rPr>
              <w:t xml:space="preserve">adózó vagy képviselője (meghatalmazottja) számára az </w:t>
            </w:r>
            <w:r w:rsidRPr="00D30A96">
              <w:rPr>
                <w:rFonts w:ascii="Palatino Linotype" w:hAnsi="Palatino Linotype" w:cs="Times New Roman"/>
                <w:lang w:eastAsia="hu-HU"/>
              </w:rPr>
              <w:t>adóegyenleg lekérdezése;</w:t>
            </w:r>
          </w:p>
          <w:p w:rsidR="00D30A96" w:rsidRPr="00D30A96" w:rsidRDefault="00D30A96" w:rsidP="00D30A96">
            <w:pPr>
              <w:numPr>
                <w:ilvl w:val="0"/>
                <w:numId w:val="20"/>
              </w:numPr>
              <w:spacing w:before="60" w:after="120" w:line="280" w:lineRule="atLeast"/>
              <w:ind w:left="743" w:hanging="284"/>
              <w:jc w:val="both"/>
              <w:rPr>
                <w:rFonts w:ascii="Palatino Linotype" w:hAnsi="Palatino Linotype" w:cs="Times New Roman"/>
                <w:lang w:eastAsia="hu-HU"/>
              </w:rPr>
            </w:pPr>
            <w:r w:rsidRPr="00D30A96">
              <w:rPr>
                <w:rFonts w:ascii="Palatino Linotype" w:hAnsi="Palatino Linotype" w:cs="Times New Roman"/>
                <w:lang w:eastAsia="hu-HU"/>
              </w:rPr>
              <w:t>ügyintézés státuszok követése.</w:t>
            </w:r>
          </w:p>
        </w:tc>
      </w:tr>
      <w:tr w:rsidR="00D30A96" w:rsidRPr="00D30A96" w:rsidTr="00D30A96">
        <w:trPr>
          <w:cantSplit/>
        </w:trPr>
        <w:tc>
          <w:tcPr>
            <w:tcW w:w="2410" w:type="dxa"/>
          </w:tcPr>
          <w:p w:rsidR="00D30A96" w:rsidRPr="00D30A96" w:rsidRDefault="00D30A96" w:rsidP="00D30A96">
            <w:pPr>
              <w:spacing w:before="60" w:after="120" w:line="280" w:lineRule="atLeast"/>
              <w:jc w:val="both"/>
              <w:rPr>
                <w:rFonts w:ascii="Times New Roman" w:hAnsi="Times New Roman" w:cs="Times New Roman"/>
                <w:lang w:eastAsia="hu-HU"/>
              </w:rPr>
            </w:pPr>
          </w:p>
        </w:tc>
        <w:tc>
          <w:tcPr>
            <w:tcW w:w="6086" w:type="dxa"/>
            <w:vAlign w:val="center"/>
          </w:tcPr>
          <w:p w:rsidR="00D30A96" w:rsidRPr="00D30A96" w:rsidRDefault="00D30A96" w:rsidP="00D30A96">
            <w:pPr>
              <w:spacing w:before="60" w:after="120" w:line="280" w:lineRule="atLeast"/>
              <w:jc w:val="both"/>
              <w:rPr>
                <w:rFonts w:ascii="Times New Roman" w:hAnsi="Times New Roman" w:cs="Times New Roman"/>
                <w:lang w:eastAsia="hu-HU"/>
              </w:rPr>
            </w:pPr>
          </w:p>
        </w:tc>
      </w:tr>
    </w:tbl>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contextualSpacing/>
        <w:jc w:val="both"/>
        <w:outlineLvl w:val="1"/>
        <w:rPr>
          <w:rFonts w:ascii="Palatino Linotype" w:eastAsia="Times New Roman" w:hAnsi="Palatino Linotype" w:cs="Times New Roman"/>
          <w:b/>
          <w:lang w:eastAsia="hu-HU"/>
        </w:rPr>
      </w:pPr>
      <w:bookmarkStart w:id="13" w:name="_Toc381619492"/>
      <w:r w:rsidRPr="00D30A96">
        <w:rPr>
          <w:rFonts w:ascii="Palatino Linotype" w:eastAsia="Times New Roman" w:hAnsi="Palatino Linotype" w:cs="Times New Roman"/>
          <w:b/>
          <w:lang w:eastAsia="hu-HU"/>
        </w:rPr>
        <w:t>4.Az eszközök és források minősítési szempontjai</w:t>
      </w:r>
      <w:bookmarkEnd w:id="13"/>
    </w:p>
    <w:p w:rsidR="00D30A96" w:rsidRPr="00D30A96" w:rsidRDefault="00D30A96" w:rsidP="00D30A96">
      <w:pPr>
        <w:numPr>
          <w:ilvl w:val="1"/>
          <w:numId w:val="2"/>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14" w:name="_Toc381619493"/>
      <w:r w:rsidRPr="00D30A96">
        <w:rPr>
          <w:rFonts w:ascii="Palatino Linotype" w:eastAsia="Times New Roman" w:hAnsi="Palatino Linotype" w:cs="Times New Roman"/>
          <w:b/>
          <w:lang w:eastAsia="hu-HU"/>
        </w:rPr>
        <w:t>Általános besorolási szabályok</w:t>
      </w:r>
      <w:bookmarkEnd w:id="14"/>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Szt. a befektetett eszközök és a forgóeszközök megkülönböztetéséhez mindössze egyetlen kritériumot határoz meg, amely szerint a kétféle eszközcsoport elválasztása az adott szervezet (vállalkozás) által meghatározott használati idő alapján történik.</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használati idő meghatározását az Szt. a vállalkozásra bízza, míg az Áhsz. ezt a feladatot a költségvetési szervnek a hatáskörébe utalja.</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eszközöket, amelyek a költségvetési szerv tevékenységét egy éven túl szolgálják, a befektetett eszközök közé, amelyek éven belül elhasználódnak, a forgóeszközök közé kell besorolni.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költségvetési szervnek a Számviteli Politikájában a befektetett eszközök és forgóeszközök alapvető és lényeges megkülönböztető ismérveit, jellemzőit kell meghatározniuk. Ennél a szabályozási feladatnál főbb eszközcsoportonként kell kialakítani a szabályozási elveket, módszereket. Minden eszköz, illetve eszközcsoport minősítéséhez ki kell jelölni az ezért felelős munkatársakat. Ebbe a feladatba be kell vonni a szakmai feladatokat ellátó, illetve műszaki munkatársakat. Az eszközök minősítésénél nem lehet az értékadatokat meghatározónak tekinteni. Tehát lehet egy 10–15 millió Ft értékű szerkezet, alkatrészkészlet, de lehet egy 2–3 ezer Ft értékű eszköz is éven túl elhasználódó tárgyi eszköz. Ennél a feladatnál a minősítéssel ellátott felelős személy által megadott elhasználódási minősítést a gazdasági szervezet vezetője vagy az általa megbízott személy számviteli szempontok szerint felülvizsgálhatja.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Fentiek alapján a beruházás, felújítás, karbantartás értelmezése tárgyi eszköz csoportonként: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Valamennyi tárgyi eszköznél: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elsődlegesen beruházásként kell elszámolni: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eszköz térítés ellenében történő beszerzését,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eszköz térítés nélküli átvételét,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 xml:space="preserve">az eszköznek alapításkor, illetve tőkeemeléskor nem pénzbeli vagyoni betétkénti (apportkénti) átvételét,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jegyzett tőke leszállításakor, jogutód nélküli megszűnésekor a részesedés fejében kapott eszközök átvételét,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beolvadáskor a beolvadótól az eszközök átvételét,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számlázott, a szerződésben, megállapodásban, a létesítő okiratban, annak módosításában, a közgyűlési határozatban, a vagyonfelosztási javaslatban rögzített értéken.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Ezek mennyiségi növekedéssel járó beruházások.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Földterület, telek, telkesítés: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Mennyiségi növekedéssel járó beruházás a fentebb leírtak szerint.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Mennyiségi növekedéssel nem járó beruházás: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talajcserének a vevőt terhelő költségei, ha a telek, földterület vételárának elfogadásakor a talajcsere szükségessége a vevő előtt ismert volt, és a vételárat csökkentő tételként figyelembe vették,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teleknek, a földterületnek építési telekké történő átminősítése érdekében elvégzendő munkák (pl. telekmegosztás) közvetlen költségei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Felújítás földterület, telek, telkesítés esetében nem értelmezhető.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Karbantartás: szennyezett talaj cseréje (kármentesítés) a szennyezést végző cégnél, illetve a vevő cégnél, ha a vételkor (a vételárban történő megállapodáskor) a megvásárolt földterület telek szennyezettségével nem számolhatott, aminek az elvégzése a rendeltetésszerű használat érdekében történik.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Épületek esetében: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Mennyiségi növekedéssel járó épület-beruházás: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épület létesítése, megépítése – akár végleges, akár ideiglenes rendeltetéssel (egy évnél hosszabb elhasználódási időre) valósítottak meg, bérelt vagy saját használatban (tulajdonban) levő földterületen (telken),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modulrendszerű (meghatározott számú, méretű elemekből összeszerelt) épület faház, felfújható műanyag sátor megépítése, összeszerelése, felállítása (beleértve az összeszerelt elemeket és az épület szerkezeti elemeit rögzítő alapozást is), ha a megépítést (összeszerelést) követő egy éven belül a modulrendszerű épület, faház, műanyag sátor nem kerül lebontásra (szétszerelésre),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kivitelezéshez használt melléképítmény, felvonulási és szociális ellátási épület létesítése, ha azt egynél több megrendelés teljesítéséhez – lebontás nélkül – megépítést követő egy évnél hosszabb ideig üzemeltetik,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már meglevő, de más által korábban beruházott és aktivált épület megvásárlása, bármilyen más jogcímen a birtokba vétele (a rendeltetésszerű használatba vétele) előtt a rendeltetésszerű használhatóság érdekében elvégzendő, </w:t>
      </w:r>
      <w:r w:rsidR="00925857">
        <w:rPr>
          <w:rFonts w:ascii="Palatino Linotype" w:eastAsia="Times New Roman" w:hAnsi="Palatino Linotype" w:cs="Times New Roman"/>
          <w:lang w:eastAsia="hu-HU"/>
        </w:rPr>
        <w:t>az üzembe helyezéshez szükséges</w:t>
      </w:r>
      <w:r w:rsidRPr="00D30A96">
        <w:rPr>
          <w:rFonts w:ascii="Palatino Linotype" w:eastAsia="Times New Roman" w:hAnsi="Palatino Linotype" w:cs="Times New Roman"/>
          <w:lang w:eastAsia="hu-HU"/>
        </w:rPr>
        <w:t xml:space="preserve">, a biztonságos használat feltételeként előírt munkák,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könyvekben nyilvántartott vagy bérelt – épület részleges, vagy teljes újraépítése (részleges újraépítés az épület egy vagy több használati </w:t>
      </w:r>
      <w:r w:rsidRPr="00D30A96">
        <w:rPr>
          <w:rFonts w:ascii="Palatino Linotype" w:eastAsia="Times New Roman" w:hAnsi="Palatino Linotype" w:cs="Times New Roman"/>
          <w:lang w:eastAsia="hu-HU"/>
        </w:rPr>
        <w:lastRenderedPageBreak/>
        <w:t>szintjének (emelet) teljes lebontása és változatlan vagy korszerűbb formában történő megépítése, illetve az épület egy részének az alapokig történő lebontása és változatlan vagy korszerűbb formában történő megépítése, teljes újraépítés az épület egészének az alapokig történő lebontása és változatlan vagy korszerűbb formában történő megépítése). Az épület részleges vagy teljes újraépítését megelőzi az épület részleges, illetve teljes értékének a kivezetése.</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Mennyiségi növekedéssel nem járó épület beruházás (pótlólagos beruházás):</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a könyvekben nyilvántartott vagy bérelt – épület (meglevő épület) terjedelmének (hasznos alapterületének vagy légterének) növelése, ide értve a toldaléképítést, a tetőtér, és padlástér beépítését, az emelet ráépítést, a helyiségek szintmegosztását,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meglevő épület kiegészítése, bővítése az épület használhatóságát és ellátását biztosító szellőző, légállapot szabályozó és nem technológiai célú berendezéssel, személyfelvonóval, mozgólépcsővel, központi fűtőberendezéssel, központi antennával, kaputelefonnal, az épületbe elmozdíthatatlanul beépített szerkezetekkel, mindezek berendezéseivel, vezetékeivel együtt, ideértve az az álmennyezet utólagos létesítését is.</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épületben a funkció bővítése, mert újonnan beépítették, a villamos energia, a víz-és hő ellátás vezetékeit, felszerelték az ahhoz kapcsolódó szerelvényeket, berendezéseket, növelték a villamos energia, a víz-, gáz-, a hő ellátás, a vízelvezetés vezetékeinek a hosszát, kapacitását (nagyobb átmérő, teljesítmény) szerelvényeinek, berendezéseinek a számát, azok körét, új mosdóhelyiséget alakítottak ki, beleértve a kialakítással kapcsolatos építőmesteri víz, gáz és villanyszerelési munkákat, a melegvíz ellátó berendezéseket is.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épületen belüli raktárban, üzemben a járófelület (burkolat) kapacitásnövekedést eredményező megerősítése,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épület átalakítása, átépítése, ha annak eredményeként az épület egészének, vagy az épület egy részének funkciója, rendeltetése megváltozik, amelyek a rendeltetésváltozás, a funkcióváltozás érdekében szükségesek,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fűtéskorszerűsítés akkor, amikor egyedi fűtésről bármilyen tüzelőanyagú központi fűtésre történik az áttérés,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épület tetőszerkezetének átalakítása, átépítése, ha ezáltal a tetőtér légtere változik.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Épület-felújítás: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 könyvekben nyilvántartott, vagy bérelt – épületnél (meglevő épület) a födémcsere és az azzal együtt elvégzett munkák,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meglevő épület szellőző, légállapot szabályozó berendezés teljes cseréje (bele tartozik a központi és a helyi berendezések, a vezetékek cseréje is),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épületen levő személyfelvonó, központi antenna, álmennyezet külön-külön történő teljes cseréje,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külön-külön is a villamos energia, a víz-, gáz, hő ellátás vezetékeinek és berendezéseinek együttes cseréje,</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meglevő központi fűtőberendezés cseréje (kazán),</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 xml:space="preserve">fűtéskorszerűsítésnél minden olyan munka, amely a szilárd tüzelőanyagú központi fűtésről más fűtésre való átállással kapcsolatos, és nem minősül mennyiségi növekedéssel nem járó épület beruházásnak,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épület tetőszerkezetének teljes cseréje.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Épület karbantartás: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meglevő – a könyvekben nyilvántartott vagy bérelt – épületen végzett minden olyan munka, amely a folyamatos, zavartalan, biztonságos üzemeltetéshez szükséges, amelyet a rendeltetésszerű használat érdekében el kell végezni, amely a folyamatos elhasználódás rendszeres helyreállítását eredményezi, még akkor is, ha az épület alkotórészei lényeges elemeinek részleges cseréjével jár együtt,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rendeltetésszerű használat érdekében elvégzett külső, belső állagmegóvási munka (vakolás, meszelés, festés, mázolás) még akkor is, ha az egész épületre kiterjed (bele értve a homlokzat tatarozást, a nyílászárók cseréjét is), vagy ha korszerűbb formában, módszerrel történik a javítási munka (pl. szőnyegpadló helyett parketta)</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tetőszerkezet javítása, részleges cseréje,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lapos tető szigetelés javítása, cseréje,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épület talajnedvesség elleni szigetelése, injektálása,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szellőző, légállapot szabályozó berendezések részleges cseréje, </w:t>
      </w:r>
    </w:p>
    <w:p w:rsidR="00D30A96" w:rsidRPr="00D30A96"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villamos energia, víz, gáz, hő ellátás vezetékeinek, berendezéseinek részleges cseréje, </w:t>
      </w:r>
    </w:p>
    <w:p w:rsidR="00D30A96" w:rsidRPr="00925857" w:rsidRDefault="00D30A96" w:rsidP="00D30A96">
      <w:pPr>
        <w:numPr>
          <w:ilvl w:val="0"/>
          <w:numId w:val="2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meglevő épület olyan átalakítása, átépítése, amelynek eredményeként az épület egészének, vagy az épület egy részének funkciója, rendeltetése nem változik meg (pl. célszerűségi okból az épületen belüli válaszfalak, szociális helyiségek áthelyezése)</w:t>
      </w: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Épületeknél az egyes tevékenységek: </w:t>
      </w:r>
    </w:p>
    <w:p w:rsidR="00D30A96" w:rsidRPr="00D30A96" w:rsidRDefault="00D30A96" w:rsidP="00D30A96">
      <w:pPr>
        <w:spacing w:after="0" w:line="240" w:lineRule="auto"/>
        <w:contextualSpacing/>
        <w:jc w:val="both"/>
        <w:rPr>
          <w:rFonts w:ascii="Palatino Linotype" w:eastAsia="Times New Roman" w:hAnsi="Palatino Linotype" w:cs="Times New Roman"/>
          <w:lang w:eastAsia="hu-HU"/>
        </w:rPr>
      </w:pP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 xml:space="preserve">Talajnedvesség elleni szigetelés: </w:t>
      </w:r>
      <w:r w:rsidRPr="00D30A96">
        <w:rPr>
          <w:rFonts w:ascii="Palatino Linotype" w:eastAsia="Times New Roman" w:hAnsi="Palatino Linotype" w:cs="Times New Roman"/>
          <w:lang w:eastAsia="hu-HU"/>
        </w:rPr>
        <w:t xml:space="preserve"> rendeltetésszerű használat érdekében elvégzendő munka, karbantartásnak minősül.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Épület teljes alapterületének aljzatbetonozása:</w:t>
      </w:r>
      <w:r w:rsidRPr="00D30A96">
        <w:rPr>
          <w:rFonts w:ascii="Palatino Linotype" w:eastAsia="Times New Roman" w:hAnsi="Palatino Linotype" w:cs="Times New Roman"/>
          <w:lang w:eastAsia="hu-HU"/>
        </w:rPr>
        <w:t xml:space="preserve"> kapacitást növelő munka, beruházásnak minősül annak a bekerülési értékével. (a bekerülési bruttó értéket növelni kell)</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Vagyonszerzési illeték késedelmes megfizetése:</w:t>
      </w:r>
      <w:r w:rsidRPr="00D30A96">
        <w:rPr>
          <w:rFonts w:ascii="Palatino Linotype" w:eastAsia="Times New Roman" w:hAnsi="Palatino Linotype" w:cs="Times New Roman"/>
          <w:lang w:eastAsia="hu-HU"/>
        </w:rPr>
        <w:t xml:space="preserve"> az eszköz beszerzésének egyenes következménye, a megfizetett/megfizetendő illeték a bekerülési érték része, mint a beruházáshoz tartozó tétel. A vagyonszerzési illetéket az aktiválás utáni megfizetés esetén is az eszköz bekerülési értékében kell számításba venni, a már aktivált érték visszamenőleges módosításával. Késedelmes megfizetés esetén kiszabott késedelmi pótlékot viszont nem lehet a bekerülési értékben figyelembe venni, az egyéb ráfordítások között kell elszámolni.</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Rendeltetés-</w:t>
      </w:r>
      <w:r w:rsidRPr="00D30A96">
        <w:rPr>
          <w:rFonts w:ascii="Palatino Linotype" w:eastAsia="Times New Roman" w:hAnsi="Palatino Linotype" w:cs="Times New Roman"/>
          <w:lang w:eastAsia="hu-HU"/>
        </w:rPr>
        <w:t xml:space="preserve">változás: a beruházási munkák befejezése után az átalakított épület rendeltetésszerű használatba vételekor üzembehelyezési dokumentumot kell készíteni és abban – az általános követelményeken túlmenően – meg kell határozni a bekerülési értéket.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lastRenderedPageBreak/>
        <w:t>Raktár átalakítása:</w:t>
      </w:r>
      <w:r w:rsidRPr="00D30A96">
        <w:rPr>
          <w:rFonts w:ascii="Palatino Linotype" w:eastAsia="Times New Roman" w:hAnsi="Palatino Linotype" w:cs="Times New Roman"/>
          <w:lang w:eastAsia="hu-HU"/>
        </w:rPr>
        <w:t xml:space="preserve"> minden olyan költség, ráfordítás, ami ezzel kapcsolatosan felmerül, pótlólagos beruházásként számolható el.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 xml:space="preserve">Nullára </w:t>
      </w:r>
      <w:r w:rsidRPr="00D30A96">
        <w:rPr>
          <w:rFonts w:ascii="Palatino Linotype" w:eastAsia="Times New Roman" w:hAnsi="Palatino Linotype" w:cs="Times New Roman"/>
          <w:lang w:eastAsia="hu-HU"/>
        </w:rPr>
        <w:t xml:space="preserve"> leírt tárgyi eszközökön végzett beruházás: a 0-ig leírt és még használt (használatban levő) tárgyi eszköz bruttó értékét és elszámolt értékcsökkenését a könyvekből nem szabad kivezetni, sem a főkönyvi könyvelésben, sem az analitikus nyilvántartásban. Ez esetben az adott tárgyi eszköz bruttó értéke megegyezik az elszámolt értékcsökkenés összegével. Amennyiben ezen tárgyi eszközön pótlólagos beruházási munkákat, illetve az eredeti állapot helyreállítását eredményező felújítási munkákat végeznek, akkor az így elvégzett pótlólagos beruházás, illetve felújítás bekerülési értékével a tárgyi eszköz eredeti bruttó (bekerülési) értékét kell növelni.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 xml:space="preserve">Meglevő épületen karbantartás: </w:t>
      </w:r>
      <w:r w:rsidRPr="00D30A96">
        <w:rPr>
          <w:rFonts w:ascii="Palatino Linotype" w:eastAsia="Times New Roman" w:hAnsi="Palatino Linotype" w:cs="Times New Roman"/>
          <w:lang w:eastAsia="hu-HU"/>
        </w:rPr>
        <w:t>a külső vakolat helyreállításával egyidejűleg végzett külső nyílászárók cseréje is.</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Ablakcsere:</w:t>
      </w:r>
      <w:r w:rsidRPr="00D30A96">
        <w:rPr>
          <w:rFonts w:ascii="Palatino Linotype" w:eastAsia="Times New Roman" w:hAnsi="Palatino Linotype" w:cs="Times New Roman"/>
          <w:lang w:eastAsia="hu-HU"/>
        </w:rPr>
        <w:t xml:space="preserve"> karbantartás.</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Belső-</w:t>
      </w:r>
      <w:r w:rsidRPr="00D30A96">
        <w:rPr>
          <w:rFonts w:ascii="Palatino Linotype" w:eastAsia="Times New Roman" w:hAnsi="Palatino Linotype" w:cs="Times New Roman"/>
          <w:lang w:eastAsia="hu-HU"/>
        </w:rPr>
        <w:t>és külső festési munkák: állagmegóvási munka, karbantartás.</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Tetőhéjazat cseréje, lapos tető szigetelése:</w:t>
      </w:r>
      <w:r w:rsidRPr="00D30A96">
        <w:rPr>
          <w:rFonts w:ascii="Palatino Linotype" w:eastAsia="Times New Roman" w:hAnsi="Palatino Linotype" w:cs="Times New Roman"/>
          <w:lang w:eastAsia="hu-HU"/>
        </w:rPr>
        <w:t xml:space="preserve"> karbantartás.</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karbantartási munkák továbbá:</w:t>
      </w:r>
      <w:r w:rsidRPr="00D30A96">
        <w:rPr>
          <w:rFonts w:ascii="Palatino Linotype" w:eastAsia="Times New Roman" w:hAnsi="Palatino Linotype" w:cs="Times New Roman"/>
          <w:lang w:eastAsia="hu-HU"/>
        </w:rPr>
        <w:t xml:space="preserve"> központi fűtési rendszer és elemeinek javítása, karbantartása, a radiátorok cseréje, lámpatestek cseréje, beépített függönyök cseréje, elhasználódott járólapok, csempe cseréje, épületrész elektromos, víz, szennyvíz, gáz tartozékok cseréje.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 xml:space="preserve">Korszerűsítés meglevő épületnél: </w:t>
      </w:r>
      <w:r w:rsidRPr="00D30A96">
        <w:rPr>
          <w:rFonts w:ascii="Palatino Linotype" w:eastAsia="Times New Roman" w:hAnsi="Palatino Linotype" w:cs="Times New Roman"/>
          <w:lang w:eastAsia="hu-HU"/>
        </w:rPr>
        <w:t xml:space="preserve">a számviteli törvény szerint, ha a korszerű technika alkalmazásával az eszköz egyes részeinek az eredetitől érdemileg eltérő megoldásával vagy kicserélésével a tárgyi eszköz üzembiztonságát, teljesítőképességét, használhatóságát, vagy gazdaságosságát növelik.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 xml:space="preserve">Felújítás meglevő épületnél: </w:t>
      </w:r>
      <w:r w:rsidRPr="00D30A96">
        <w:rPr>
          <w:rFonts w:ascii="Palatino Linotype" w:eastAsia="Times New Roman" w:hAnsi="Palatino Linotype" w:cs="Times New Roman"/>
          <w:lang w:eastAsia="hu-HU"/>
        </w:rPr>
        <w:t>központi fűtőberendezés cseréje (önmagában a radiátorok cseréje azonban karbantartás), tetőszerkezet cseréje.</w:t>
      </w: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Bérelt épületen végzett munkák:</w:t>
      </w:r>
      <w:r w:rsidRPr="00D30A96">
        <w:rPr>
          <w:rFonts w:ascii="Palatino Linotype" w:eastAsia="Times New Roman" w:hAnsi="Palatino Linotype" w:cs="Times New Roman"/>
          <w:lang w:eastAsia="hu-HU"/>
        </w:rPr>
        <w:t xml:space="preserve"> az Önkormányzattól bérbe vett helyiségek kialakítása- mint funkcióbővítés – beruházási tevékenység. Amennyiben ezen munkákat a bérleti időszak alatt végezték el, akkor a felmerült tételeket, mint bérelt épületen  végzett beruházást kell kimutatni, a rendeltetésszerű használatbavételt követően pedig az általános előírások szerint kell a terv szerinti értékcsökkenést megállapítani és elszámolni.</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Egyéb építmények esetében (utak, vasutak, technológiai vezetékek, ültetvények, erdők): </w:t>
      </w: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Mennyiségi növekedéssel járó egyéb építmény beruházások:</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egyéb építmények létesítése, megépítése (egy évnél hosszabb elhasználódási időre)</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építményjegyzékbe tartozó adatközlési, áramszolgáltató, távbeszélő, postai, vasúti kábelvezeték megépítése, felszerelése földben, védőcsatornában, (tartópillérek, oszlopok kivételével),</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kerítések, korlátok megépítése, azok szakaszos vagy teljes cseréje, ha a csere során a tartóoszlopokat is cserélik,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meliorációs beruházások,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vasúti építmények létesítése, megépítése,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már meglevő vasúti építmények szakaszos vagy teljes cseréje,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 xml:space="preserve">alagutak, hídfők, szárnyfalak, hídszerkezetek elhelyezése, szakaszos, vagy teljes cseréje,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Mennyiségi növekedéssel nem járó egyéb építmény beruházások:</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meglevő az építményjegyzékbe tartozó, illetve épületen belüli – adatközlési, áramszolgáltató, távbeszélő, postai, vasúti és egyéb lég-és kábelvezetékek, vezeték hálózatok kiegészítése további alkotórészekkel, tartozékokkal,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tereprendezési, területfeltöltési, közművesítései, park-és kertépítési munka amennyiben az nem minősül egyedi tárgyi eszköznek,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hídfők, szárnyfalak, hídszerkezetek, tartóoszlopok alkotórészei, tartozékai számának, körének bővítése.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Egyéb építmény felújítás:</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 az építményjegyzékbe tartozó – adatközlési, áramszolgáltató, távbeszélő, postai, vasúti, egyéb vezetékhálózat lég-és kábelvezetékeinek szakaszosan, vagy teljes hosszban történő cseréje, ha csak a vezetéket cserélik ki,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meglevő utak, térburkolatok olyan helyreállítása, amikor az út, a térburkolat kapacitása, átbocsátóképessége</w:t>
      </w:r>
      <w:r w:rsidRPr="00D30A96">
        <w:rPr>
          <w:rFonts w:ascii="Palatino Linotype" w:eastAsia="Times New Roman" w:hAnsi="Palatino Linotype" w:cs="Times New Roman"/>
          <w:b/>
          <w:lang w:eastAsia="hu-HU"/>
        </w:rPr>
        <w:t xml:space="preserve"> </w:t>
      </w:r>
      <w:r w:rsidRPr="00D30A96">
        <w:rPr>
          <w:rFonts w:ascii="Palatino Linotype" w:eastAsia="Times New Roman" w:hAnsi="Palatino Linotype" w:cs="Times New Roman"/>
          <w:lang w:eastAsia="hu-HU"/>
        </w:rPr>
        <w:t xml:space="preserve">nem nő (eredeti állapot helyreállítása, ha az nem karbantartás),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Egyéb építmény karbantartás:</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 könyvekben nyilvántartott vagy bérelt – egyéb építményen végzett minden olyan munka, amely a folyamatos, zavartalan, biztonságos üzemeltetéshez szükséges, amelyet a rendeltetésszerű használat érdekében a tervszerű megelőző karbantartás keretében vagy eseti jelleggel, de rendszeresen el kell végezni.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meglevő utakra, vasúti átjárókra, a térburkolatokra új kopóréteg felvitele, a kikopott burkolat (kátyúk) helyreállítása, ha a felvitt új kopóréteg vastagsága átlagosan nem haladja meg a 6 cm-t, és ezáltal nem eredményezi ezen eszközök kapacitásának növelését.</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Egyéb építményeknél beruházás, felújítás, vagy karbantartás:</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parkosítás elszámolása (talaj előkészítése, füvesítés) bekerülési értékébe tartozó tételeket beruházásként kell elszámolni és rendeltetésszerű használatba vételkor az egyéb építmények között parkosításként aktiválni. Az örökzöldeket, díszcserjéket rendeltetésük, használatuk alapján kell a tárgyi eszközök, illetve a forgóeszközök közé besorolni jellegük alapján. Mind a parkosítással, mind az örökzöldeknél, díszcserjéknél a várható hasznos élettartam és az annak végén várható maradványérték függvényében kell az évenként elszámolandó terv szerinti értékcsökkenés összegét meghatározni.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Távközlési létesítmény építése miatt felbontott járda burkolat helyreállítása változatlan, vagy magasabb értékű burkolatként – tárgyi eszközként kell kimutatni.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Gépek, berendezések, járművek: </w:t>
      </w: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Mennyiségi növekedéssel járó gép-és járműberuházás: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 xml:space="preserve">gépek, gépi és technológiai berendezések, felszerelések, műszerek, járművek, konténer jellegű térelemek, valamint ezek kizárólagos tartozékainak beszerzése, szállítása, alapozása, saját vállalkozásban végzett előállítása, felszerelése és működő képes állapotba hozása, üzembe helyezése,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Mennyiségi növekedéssel nem járó gép-és járműberuházás: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cseregépes, csere gépkocsis javítás, ha a csereként kapott használt felújított gépjármű nem azonos gyártmányú, vagy nem azonos típusú a leadott géppel, gépjárművel vagy magasabb felszereltségű, kapacitású, nagyobb teherbírású mint a leadott gépjármű,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még rendeltetésszerűen használt, de nullára leírt gép, gépi és technológiai berendezés, műszer, jármű üzemképes állapotban tartása érdekében végzett munkák,</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Gépfelújítás, jármű felújítás: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rendkívüli esemény következtében elértéktelenedett gép, jármű, üzemképes állapotba hozása, a fődarabok cseréje, elhasználódott alkotórészek, tartozékok pótlása, amennyiben az nem minősül karbantartásnak, illetve beruházásnak,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Gépkarbantartás, járműkarbantartás: </w:t>
      </w:r>
    </w:p>
    <w:p w:rsidR="00D30A96" w:rsidRPr="00D30A96" w:rsidRDefault="00D30A96" w:rsidP="00D30A96">
      <w:pPr>
        <w:numPr>
          <w:ilvl w:val="0"/>
          <w:numId w:val="20"/>
        </w:num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meglevő – a könyvekben nyilvántartott vagy bérelt – gépek, gépi és technológiai berendezések, felszerelési tárgyak, műszerek folyamatos zavartalan, biztonságos üzemeltetését szolgáló karbantartási, javítási állagmegóvási munkák, mint pl. a gépek, gépi és technológiai berendezések, felszerelési tárgyak, műszerek, járművek időszakonkénti felülvizsgálata, tisztítása, kenése, a meghibásodások, üzemzavarok elhárítása, a tervszerű megelőző karbantartás, a javítása a folyamatos működés, a biztonságos üzemeltetés érdekében a fődarabok javítása, tartozékok cseréje, ha a csere következtében nem változik meg a gépek, a gépi és technológiai berendezés kapacitása, élettartama, funkciói nem bővülnek.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Ide tartozik: az alkatrész,, mely a tárgyi eszköz működőképességéhez szükséges, az adott tárgyi eszközbe jellemzően beépül. </w:t>
      </w: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tartalék alkatrészeket önálló tárgyi eszközként kell kimutatni.</w:t>
      </w: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Motorcsere karbantartásnak minősül. </w:t>
      </w: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Tartozékok, tartalék alkatrészek a tárgyi eszköz biztonságos üzemeltetéséhez, rendeltetésszerű használatához szükséges - és a tárgyi eszköz beszerzésével egyidőben, vagy annak üzembe helyezéséig a beszerzett – tartozékok, tartalék alkatrészek beszerzési értéke a tárgyi eszköz bekerülési értéke részének tekintendő.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1"/>
          <w:numId w:val="2"/>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15" w:name="_Toc381619494"/>
      <w:r w:rsidRPr="00D30A96">
        <w:rPr>
          <w:rFonts w:ascii="Palatino Linotype" w:eastAsia="Times New Roman" w:hAnsi="Palatino Linotype" w:cs="Times New Roman"/>
          <w:b/>
          <w:lang w:eastAsia="hu-HU"/>
        </w:rPr>
        <w:t>A költségvetési szerv által kialakításra kerülő besorolási szempontokhoz szükséges központi előírások köre</w:t>
      </w:r>
      <w:bookmarkEnd w:id="15"/>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szervnek az egyes eszközök befektetett eszköznek, illetve forgóeszköznek minősítésénél a következő központi előírásokat figyelembe kell venni:</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nem lehet kimutatni az eszközök (sem a befektetett, sem a forgóeszközök) között a bérbevett eszközöket. Ezeket az eszközöket a 0. nyilvántartási számlák számlaosztályban szabad csak nyilvántartani;</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bérbevett vagy használatra átvett eszközökön végzett beruházási és felújítási munkák értékét – ha annak ellenértékét a bérbeadó nem téríti meg, nem engedi beszámítani a fizetendő bérleti díjba – a befektetett eszközök között, az adott eszköznek megfelelő csoportnál kell kimutatni.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Pl. a bérelt épületen végzett felújítási munka értékét az épületek eszközcsoporton belül lehet aktiválni és egyedileg nyilvántartani;</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tenyészállatokat az Szt. kötelezően – a tenyészidőtől függetlenül – a befektetett eszközök közé, a növendék-, hízó- és egyéb állatokat a forgóeszközök közé sorolja.</w:t>
      </w:r>
    </w:p>
    <w:p w:rsidR="00D30A96" w:rsidRPr="00D30A96" w:rsidRDefault="00D30A96" w:rsidP="00D30A96">
      <w:pPr>
        <w:spacing w:after="0" w:line="240" w:lineRule="auto"/>
        <w:contextualSpacing/>
        <w:jc w:val="both"/>
        <w:rPr>
          <w:rFonts w:ascii="Palatino Linotype" w:eastAsia="Times New Roman" w:hAnsi="Palatino Linotype" w:cs="Times New Roman"/>
          <w:lang w:eastAsia="hu-HU"/>
        </w:rPr>
      </w:pPr>
    </w:p>
    <w:p w:rsidR="00D30A96" w:rsidRPr="00D30A96" w:rsidRDefault="00D30A96" w:rsidP="00D30A96">
      <w:pPr>
        <w:numPr>
          <w:ilvl w:val="1"/>
          <w:numId w:val="2"/>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16" w:name="_Toc381619495"/>
      <w:r w:rsidRPr="00D30A96">
        <w:rPr>
          <w:rFonts w:ascii="Palatino Linotype" w:eastAsia="Times New Roman" w:hAnsi="Palatino Linotype" w:cs="Times New Roman"/>
          <w:b/>
          <w:lang w:eastAsia="hu-HU"/>
        </w:rPr>
        <w:t>Az eszközök minősítési szempontjai</w:t>
      </w:r>
      <w:bookmarkEnd w:id="16"/>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bookmarkStart w:id="17" w:name="_Toc379985244"/>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Az Szt. szerint az eszközök minősítésének kizárólag a használati idő az egyetlen kritériuma. A használati idő meghatározásához nem biztosít sem az Szt., sem az Áhsz. eligazítást. Ennél a feladatnál a következő főbb szempontokat kell figyelembe venni:</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minősítést eszközcsoportonként, illetve eszközönként kell végrehajtani,</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állandóan ismétlődő eszközbeszerzéseknél vizsgálni kell az elhasználódás, selejtezés gyakoriságát,</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egyes eszközcsoportokat fizikai jellemzőik alapján konkrétan ki lehet zárni akár a befektetett eszközök, akár a forgóeszközök köréből.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Pl. hivatali étkeztetésnél a törékeny eszközöket éven belülinek lehet minősíteni, függetlenül attól, hogy a teljes pohárkészlet egy éven belül nem 100%-osan cserélődik, vagy a textíliák sem kerülhetnek a befektetett eszközök körébe, mert erre az egyes tárgyi eszköz kategóriák fogalom-meghatározása nem ad lehetőséget,</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lang w:eastAsia="hu-HU"/>
        </w:rPr>
        <w:t xml:space="preserve">az azonos rendeltetésű eszközök a gyakorlatban történő használatuk alapján kerülhetnek egy költségvetési szerven belül a forgóeszközök és a befektetett eszközök közé is. </w:t>
      </w:r>
      <w:r w:rsidRPr="00D30A96">
        <w:rPr>
          <w:rFonts w:ascii="Palatino Linotype" w:eastAsia="Times New Roman" w:hAnsi="Palatino Linotype" w:cs="Times New Roman"/>
          <w:color w:val="000000"/>
          <w:lang w:eastAsia="hu-HU"/>
        </w:rPr>
        <w:t>Pl. a számítógép a gazdasági feladatok ellátása esetén a befektetett eszközök közé tartozik, de ugyanennél az intézménynél a számítógép, ha oktatási célt szolgál – gyors, intenzív igénybevétel miatt –, kerülhet az éven belül elhasználódó körbe.</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konkrétan meg kell határozni, hogy milyen esetekben kell önálló eszköznek besorolni egy-egy vagyonelemet:</w:t>
      </w:r>
    </w:p>
    <w:p w:rsidR="00D30A96" w:rsidRPr="00D30A96" w:rsidRDefault="00D30A96" w:rsidP="00D30A96">
      <w:pPr>
        <w:spacing w:after="0" w:line="240" w:lineRule="auto"/>
        <w:contextualSpacing/>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számviteli törvény előírásai alapján az eszközöket rendeltetésük, használatuk alapján kell a befektetett eszközök vagy a forgóeszközök közé sorolni. A befektetett eszközként olyan eszközt szabad kimutatni, amelynek az a rendeltetése, hogy a tevékenységet, a működést tartósan, legalább egy éven túl szolgálja. A szerszámok olyan eszközök, amelyek a tevékenységet tartósan, egy éven túl szolgálják, így azokat a tárgyi eszközök közé kell besorolni. Ebből következően elsődlegesen beruházásként kell elszámolni, majd a gépek, berendezések között – a rendeltetésszerű használatba vételkor – kimutatni, féleségenként külön-külön. A rendeltetésszerű használatbavételkor meg kell határozni ezen eszközök várható hasznos élettartamát, a hasznos élettartam végén várható maradványértéket és meg </w:t>
      </w:r>
      <w:r w:rsidRPr="00D30A96">
        <w:rPr>
          <w:rFonts w:ascii="Palatino Linotype" w:eastAsia="Times New Roman" w:hAnsi="Palatino Linotype" w:cs="Times New Roman"/>
          <w:lang w:eastAsia="hu-HU"/>
        </w:rPr>
        <w:lastRenderedPageBreak/>
        <w:t xml:space="preserve">kell állapítani az évenként elszámolandó terv szerinti értékcsökkenés összegét. A hasznos élettartam meghatározása során tekintettel kell lenni arra, hogy ezen féleségek javítása jellemzően nem minősül a számviteli előírások szerint felújításnak, de az ilyen javítások rendszeres végzése kihatással lehet a hasznos élettartam hosszára.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évenként elszámolandó terv szerinti értékcsökkenés meghatározása során számításba kell venni azt is, hogy a féleségeket különböző munkafolyamatokban, de nem folyamatosan használják, ezért a lineárisan történő értékcsökkenés – elszámolás mellett az évenkénti abszolút összegű, illetve a teljesítményarányos értékcsökkenés elszámolási módszer alkalmazására is van lehetőség.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féleségeket – legalább az analitikában – egyedileg kell nyilvántartani. Az azonos szerszámok csoportosan is nyilvántarthatók.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rögzíteni kell, hogy egyedi eszközök esetében mi az eljárási rend, kinek vagy mely szervezeti egységnek a hatáskörébe tartozik a minősítés:</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tárgyi eszközt akkor lehet rendeltetésszerűen használatba venni, üzembe helyezni, ha biztosítottak a rendeltetésszerű működés műszaki, technológiai, illetve jogi hatósági feltételei, továbbá az adott tárgyi eszközt a tevékenységhez, működéshez ténylegesen is használni fogják.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számviteli törvény szerint az üzembe helyezés időpontja az eszköz rendeltetésszerű hasznosításának kezdő időpontja. A rendeltetésszerű használatbavétel jellemző feltételei: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adott tárgyi eszköz a műszaki feltételek teljesülése mellett a tényleges használatra alkalmas,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szükséges és indokolt jogi, hatósági engedélyek (használatbavételi, érintésvédelmi, munkavédelmi stb.) megvannak. Az aktiváláshoz azonban elegendő az is, ha a használatbavételi eljárásról valamennyi érintett szakhatóság által aláírt, elfogadott jegyzőkönyv készült, amely szerint a szakhatóság mindent rendben levőnek talált és jelezte a használatbavételi eljárás, illetve az erről készült jegyzőkönyv alapján, hogy a használatbavételi engedélyt ki fogja adni.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feltételek teljesítését dokumentálni kell. Ha a feltételek bármelyike hiányzik, az adott tárgyi eszközt rendeltetésszerűen nem lehet használatba venni, üzembe helyezni.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tényleges használatbavétel időpontját is dokumentumokkal kell alátámasztani, a kívülállók számára is elfogadható módon.</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egyes eszközök minősítését a számviteli bizonylatokon írásban kell rögzíteni: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üzembehelyezési okmány formájára, tartalmára vonatkozóan a számviteli törvény nem tartalmaz előírást. A számviteli törvény 52. § (2) bekezdésének utolsó mondata csak annyit tartalmaz, hogy az üzembe helyezést hitelt érdemlő módon dokumentálni kell. Ennek formáját, tartalmi követelményeit az üzembe helyezés helyi körülményei, az üzembe helyezendő eszközök sajátosságai figyelembevételével kell meghatározni. Az üzembe </w:t>
      </w:r>
      <w:r w:rsidRPr="00D30A96">
        <w:rPr>
          <w:rFonts w:ascii="Palatino Linotype" w:eastAsia="Times New Roman" w:hAnsi="Palatino Linotype" w:cs="Times New Roman"/>
          <w:lang w:eastAsia="hu-HU"/>
        </w:rPr>
        <w:lastRenderedPageBreak/>
        <w:t xml:space="preserve">helyezés dokumentuma lehet üzembehelyezési okmány. A dokumentumnak tartalmaznia kell az üzembe helyezés időpontját, rendeltetésszerű használatának kezdő időpontját, az üzembe helyezés műszaki, hatósági feltételei teljesülésének felsorolását, mellékletként a feltételek teljesülését igazoló engedélyeket, hatósági jegyzőkönyveket, iratokat. Tartalmaznia kell továbbá: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tárgyi eszköz, a beruházás bekerülési értékébe tartozó minden tételt a valóságnak megfelelően kell figyelembe venni, a több eszközt érintő tételeket (szállítási és rakodási költség, bizományi díj, vámteher, fizetett és kapott kamat, árfolyam-különbözet stb. ) az egyes eszközök között az értékelési szabályzatban leírtak szerint – fel kell osztani.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beruházás több db – önálló feladat, funkció ellátására képes – tárgyi eszköz beszerzése esetén, azoknak külön-külön kell megállapítani a bekerülési értékét,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adott tárgyi eszköz esetében a terv szerinti értékcsökkenési leírás elszámolása,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egyösszegű költségkénti elszámolása,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hasznos élettartama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1"/>
          <w:numId w:val="2"/>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18" w:name="_Toc381619496"/>
      <w:r w:rsidRPr="00D30A96">
        <w:rPr>
          <w:rFonts w:ascii="Palatino Linotype" w:eastAsia="Times New Roman" w:hAnsi="Palatino Linotype" w:cs="Times New Roman"/>
          <w:b/>
          <w:lang w:eastAsia="hu-HU"/>
        </w:rPr>
        <w:t>A mérlegben értékkel nem szereplő eszközök és források bemutatása</w:t>
      </w:r>
      <w:bookmarkEnd w:id="18"/>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Számviteli Politikában dönteni kell a költségvetési szervnek arról is, hogy a mérlegben értékkel nem szereplő egyes eszközök és források esetében</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ezeknek az eszközöknek és forrásoknak a köre,</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milyen nyilvántartásokat kell kialakítani,</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milyen értékelési elveket kell alkalmazni.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Ilyen eszközök és források lehetnek:</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követeléseknél:</w:t>
      </w:r>
    </w:p>
    <w:p w:rsidR="00D30A96" w:rsidRPr="00D30A96" w:rsidRDefault="00D30A96" w:rsidP="00D30A96">
      <w:pPr>
        <w:numPr>
          <w:ilvl w:val="1"/>
          <w:numId w:val="5"/>
        </w:numPr>
        <w:autoSpaceDE w:val="0"/>
        <w:autoSpaceDN w:val="0"/>
        <w:adjustRightInd w:val="0"/>
        <w:spacing w:after="0" w:line="240" w:lineRule="auto"/>
        <w:ind w:left="2268"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biztos jövőbeni követelések,</w:t>
      </w:r>
    </w:p>
    <w:p w:rsidR="00D30A96" w:rsidRPr="00D30A96" w:rsidRDefault="00D30A96" w:rsidP="00D30A96">
      <w:pPr>
        <w:numPr>
          <w:ilvl w:val="1"/>
          <w:numId w:val="5"/>
        </w:numPr>
        <w:autoSpaceDE w:val="0"/>
        <w:autoSpaceDN w:val="0"/>
        <w:adjustRightInd w:val="0"/>
        <w:spacing w:after="0" w:line="240" w:lineRule="auto"/>
        <w:ind w:left="2268"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függő követelések (pl. le nem zárt peres ügyek miatti követelések, adott biztosítékok, fedezetek);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követelések fogalma a számviteli törvény szerint: követelések azok a különféle szállítási, vállalkozási, szolgáltatási és egyéb szerződésekből jogszerűen eredő, pénzértékében kifejezett fizetési igények, amelyek a vállalkozó által már teljesített, a másik fél által elfogadott, elismert termékértékesítéshez, szolgáltatás teljesítéséhez, hitelviszonyt megtestesítő értékpapír, tulajdoni részesedést jelentő befektetés értékesítéséhez, kölcsön nyújtásához, előleg fizetéséhez kapcsolódnak, valamint a különféle egyéb követelések, ideértve a vásárolt követeléseket, a térítés nélkül és egyéb címen átvett követeléseket, a bíróság által jogerősen megítélt követeléseket is. A számviteli törvény szerint a követelések áruszállításból és szolgáltatásból (vevők) között kell kimutatni minden olyan, a vállalkozó által teljesített – a vevő által elismert – termékértékesítésből, szolgáltatás nyújtásból származó követelést, amely nem tartozik a kapcsolt vállalkozásokkal kapcsolatos követelések, az egyéb részesedésekkel kapcsolatos követelések és a számviteli törvény által nevesített pénzkölcsönökkel kapcsolatos követelések közé.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 xml:space="preserve">Az Áhsz.-ben megfogalmazottak szerint a követelés az a jogszabályból, jogerős bírói végzésből, ítéletből, végleges hatósági határozatból, szerződésből – ide értve a vásárolt és a térítés nélkül átvett követelést is – jogszerűen eredő fizetési igény, amelyet a kötelezett elismert és – ellenszolgáltatást is tartalmazó szerződés esetén – a másik fél már teljesített, ilyennek minősül a bevallás alapján megállapított közhatalmi bevételre irányuló, valamint az olyan követelés is, amelyet a kötelezett vitat, de jogszabály alapján azt a fellebbezésre vagy perindításra tekintet nélkül teljesítenie kell. Szintén követelésnek kell tekinteni az állami adó-és vámhatóság által beszedett közhatalmi bevételek esetén az állami adó-és vámhatóságnak bevallás nélkül megfizetett összeg elszámolása során előírt követelést is.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 a követeléseit mind a költségvetési számvitelben, mind a pénzügyi számvitelben ki kell, hogy mutassa. A költségvetési számvitel könyvvezetésének keretében a bevételi és kiadási előirányzatok alakulására, a követelések, kötelezettségvállalások, más fizetési kötelezettségek, valamint ezek teljesítésére kiható gazdasági eseményekről a valóságnak megfelelő, folyamatos zárt rendszerű, áttekinthető nyilvántartást kell vezetni és azt a költségvetési év végével lezárni. A költségvetési könyvvezetés a számviteli alapelvek sajátosságai figyelembevételével magyar nyelven, az egységes számlakeret 0-s számlaosztályán belül a 00 és a 03-09. számlacsoportban vezetett nyilvántartási számlák használatával, a kettős könyvviteli szabályai szerint, forintban kell hogy történjen.</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pénzügyi számvitel könyvvezetése keretében a tevékenység során előforduló, az eszközökre és forrásokra, azok változására és az eredmény alakulására ható gazdasági eseményekről a valóságnak megfelelő, folyamatos, zárt rendszerű, áttekinthető nyilvántartást kell vezetni és azt a költségvetési év végével lezárni.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pénzügyi könyvvezetés a számviteli alapelvek figyelembevételével, magyar nyelven, az egységes számlakeret 1-9. számlaosztályán belül vezetett könyvviteli számlák használatával, a kettős könyvvitel szabályai szerint forintban kell, hogy történjen.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w:t>
      </w:r>
      <w:r w:rsidRPr="00D30A96">
        <w:rPr>
          <w:rFonts w:ascii="Palatino Linotype" w:eastAsia="Times New Roman" w:hAnsi="Palatino Linotype" w:cs="Times New Roman"/>
          <w:b/>
          <w:lang w:eastAsia="hu-HU"/>
        </w:rPr>
        <w:t>költségvetési számvitel</w:t>
      </w:r>
      <w:r w:rsidRPr="00D30A96">
        <w:rPr>
          <w:rFonts w:ascii="Palatino Linotype" w:eastAsia="Times New Roman" w:hAnsi="Palatino Linotype" w:cs="Times New Roman"/>
          <w:lang w:eastAsia="hu-HU"/>
        </w:rPr>
        <w:t xml:space="preserve"> könyvvezetésére vonatkozó szabályok: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követelések nyilvántartási számláin a 004. Követelések nyilvántartási ellenszámlával szemben történik a követelés növekedésének – így annak az előírása, vásárlása, átvétele, elszámolt értékvesztés visszaírása, árfolyamváltozás miatt növekedése elszámolása. A követelések csökkenését szintén a 004. Követelések nyilvántartási ellenszámlával szemben kell rögzíteni. A csökkenések lehetnek: behajthatatlan követelés elszámolása, követelés értékesítése, átadása, elengedése, a követelések elszámolt értékvesztése, az árfolyam változása miatti csökkenések. A csökkenések között nem lehet nyilvántartásba venni a követelések pénzügyi teljesítését, mivel a költségvetési számvitelben a követeléseket – a beszámolóban történő kimutatás szabályaihoz igazodóan – halmozottan kell kimutatni. A követeléseket a szerint kell nyilvántartásba venni, hogy az költségvetési évben esedékes, vagy a költségvetési évet (éveket) követően válik esedékessé. A költségvetési évben esedékes követelésként kell nyilvántartásba venni az olyan követeléseket, amelyek teljesítésének határnapja vagy teljesítésére rendelkezésre álló határidő kezdő napja a követelés nyilvántartásba vételének. A költségvetési évben esedékes </w:t>
      </w:r>
      <w:r w:rsidRPr="00D30A96">
        <w:rPr>
          <w:rFonts w:ascii="Palatino Linotype" w:eastAsia="Times New Roman" w:hAnsi="Palatino Linotype" w:cs="Times New Roman"/>
          <w:lang w:eastAsia="hu-HU"/>
        </w:rPr>
        <w:lastRenderedPageBreak/>
        <w:t xml:space="preserve">követelések körébe tartoznak azok a követelések is, amelyek az Áhsz. nyitó, rendező tételek alapján az évi nyitást követően a költségvetési évet, éveket követően esedékes követelések közül átvezetésre kerülnek ebbe a körbe. Minden más követelést a költségvetési évet követően esedékes követelésként kell nyilvántartani.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költségvetési számvitelben a bevételi teljesítésekhez kapcsolódnia kell követelés előírásának. Kivétel a lekötött bankbetétek visszaváltása, ahol nem lehet követelést előírni. A követelések előírása az esetek többségében meg kell, hogy előzze a bevételi teljesítéseket. Ez alól az Áhsz-ben rögzítettek szerint kivétel, amikor a követelés előírása az adott követeléshez tartozó bevételi teljesítéssel egyidejűleg történhet. Ilyen pl. B11. önkormányzatok működési támogatásai, B15. Működési célú visszatérítendő támogatások, kölcsönök igénybevétele államháztartáson belülről, B21. Felhalmozási célú önkormányzati támogatások, B.24. Felhalmozási célú visszatérítendő támogatások, kölcsönök igénybevétele államháztartáson belülről, B811. Hitel, kölcsön felvétel pénzügyi vállalkozástól, B8122. Éven belüli lejáratú belföldi értékpapírok kibocsátása, B8124. Éven túli lejáratú belföldi értékpapírok kibocsátása, B813. Maradvány igénybevétele, B814. Államháztartáson belüli megelőlegezések, B816. Központi, irányítószervi támogatás.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külföldi pénzértékre szóló követelést az Áhsz. 20. § (3) és (4) bekezdése szerinti deviza-árfolyam forintértékén kell nyilvántartásba venni.</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más által beszedett, de más szervezetet megillető bevételek esetében a bevételt beszedő szervezet által előírt követeléseket, azok változásait, a változás jogcímét, a bevételt beszedő szervezet által küldött elszámolás alapján kell nyilvántartásba venni.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w:t>
      </w:r>
      <w:r w:rsidRPr="00D30A96">
        <w:rPr>
          <w:rFonts w:ascii="Palatino Linotype" w:eastAsia="Times New Roman" w:hAnsi="Palatino Linotype" w:cs="Times New Roman"/>
          <w:b/>
          <w:lang w:eastAsia="hu-HU"/>
        </w:rPr>
        <w:t>pénzügyi számvitelben</w:t>
      </w:r>
      <w:r w:rsidRPr="00D30A96">
        <w:rPr>
          <w:rFonts w:ascii="Palatino Linotype" w:eastAsia="Times New Roman" w:hAnsi="Palatino Linotype" w:cs="Times New Roman"/>
          <w:lang w:eastAsia="hu-HU"/>
        </w:rPr>
        <w:t xml:space="preserve"> a követeléseket a 3. Pénzeszközök, követelések, aktív időbeli elhatárolások számlaosztályon belül a 35. Követelések számlacsoportban kell kimutatni. A 35. számlacsoporton belül el kell különíteni a költségvetési évben esedékes és a költségvetési évet követően esedékes követeléseket, valamint a követelések értékvesztését és annak visszaírását.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két számvitelben elszámolt követelések közötti egyezőségi szabályok: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09.nyilvántartási számlákon belül a B1-B8. rovatokhoz kapcsolódó költségvetési évben esedékes követelések nyilvánt6artására – a (2) végű – szolgáló számlák pénzügyi teljesítéssel csökkentett egyenlegének meg kell egyeznie a költségvetési évben esedékes követelések – 351…-358… könyvviteli számlák egyenlegével. Ez alól az egyezőség alól kivételt képez a lekötött betéthez kapcsolódó követelés számlák, mivel a B 817. Lekötött bankbetétek megszüntetése bevételi rovathoz az Áhsz. nem engedi a követelés számlák alkalmazását.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09. nyilvántartási számlákon belül a B1-B8. rovatokhoz kapcsolódó költségvetési évet követően esedékes követelések nyilvántartására szolgáló – (2) végű – számlák egyenlegének </w:t>
      </w:r>
      <w:r w:rsidRPr="00D30A96">
        <w:rPr>
          <w:rFonts w:ascii="Palatino Linotype" w:eastAsia="Times New Roman" w:hAnsi="Palatino Linotype" w:cs="Times New Roman"/>
          <w:lang w:eastAsia="hu-HU"/>
        </w:rPr>
        <w:lastRenderedPageBreak/>
        <w:t xml:space="preserve">meg kell egyeznie a költségvetési évet követően esedékes követelések könyvviteli számláinak – 352…-358… - egyenlegével.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Analitikus nyilvántartás: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költségvetési jelentés és a maradvány kimutatás beszámoló űrlapokon szereplő, de a költségvetési könyvvezetés során a 00. és a 03-09. nyilvántartási számlákon nem szereplő adatokat, valamint a jogszabályokban előírt adatszolgáltatási kötelezettségek alátámasztásáról a költségvetési szerv a részletező nyilvántartások vezetésével tesz eleget. A részletező nyilvántartás kötelező minimum tartalmát az Áhsz. 14. sz. melléklete tartalmazza. A követelések részletező nyilvántartásának egyedi jellegűnek kell lennie. Az egyedi jelleget nem befolyásolja, ha a követelések értékelése egyszerűsített értékelési eljárással, csoportonként történik. A követelések nyilvántartása történhet fizikailag elkülönült nyilvántartásokban is pl. közhatalmi bevételek nyilvántartása, munkavállalókkal kapcsolatos követelések nyilvántartása, szerződések, megrendelések nyilvántartása, pályázatok, kapott támogatások nyilvántartása stb.) ha biztosított azok adatainak a 09. számlacsoportban történő folyamatos nyilvántartásba vétele.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költségvetési támogatások és más hasonló ellenérték nélkül kapott pénzeszközöknél nyilván kell még tartani a támogatásoknak a forrását, az azzal történő elszámolás határidejét, annak teljesítésére, elfogadására vonatkozó adatokat, az esetleges visszafizetési kötelezettség előírása esetén a követelések nyilvántartásával való kapcsolatot, az elvégzett ellenőrzések főbb adatait.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visszatérítendő támogatások és más kapott kölcsönök esetén nyilván kell tartani a követelések nyilvántartásával való kapcsolatot.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Termék, szolgáltatás értékesítése esetén nyilván kell tartani a kibocsátott számlák adatait is oly módon, hogy abból az áfa bevallási kötelezettségnek eleget lehessen tenni.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követeléseket több adatszolgáltatásban is ki kell mutatni. Ezek az adatszolgáltatások évköziek (időközi költségvetési jelentés, időközi mérlegjelentés) és év végiek (éves költségvetési beszámoló).  (Áht. 108. §)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számviteli törvény 3. §(8) bekezdés 17. és 18. pontja meghatározza a függő és biztos (jövőbeni) követelések fogalmát. Az Áhsz. átvette ezeket a szabályokat és több ponton kiegészítette. Az Áhsz.41. § (2) bekezdésében foglaltak szerint a követeléseket a költségvetési számvitelen belül a 03. Függő és biztos (jövőbeni) követelések számlacsoportban kell kimutatni. A költségvetési szervnek ebben a számlacsoportban kell kimutatni az egységes rovatrend K506. Egyéb működési célú támogatások államháztartáson belülre, K84. Egyéb felhalmozási célú támogatások államháztartáson belülre, K512. Egyéb működési célú támogatások államháztartáson kívülre és K89. Egyéb felhalmozási célú támogatások államháztartáson kívülre rovatokon nyilvántartott kiadásokból az előlegként kifizetett támogatásokat, mint a másik fél (kedvezményezett) elszámolási kötelezettségének függő követeléskénti előírását.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03. Függő és biztos (jövőbeni) követelések számlacsoportban történő könyvelésnél az ellenszámla a 006. Egyéb nyilvántartási ellenszámla.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Áhsz. 14. sz. mellékletében foglaltaknak megfelelően a függő és biztos (jövőbeni) követelésekről is kell külön részletező nyilvántartást vezetni mindaddig, amíg az végleges követeléssé nem változik, vagy meg nem szűnik.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követelések körébe tartoznak az un. követelés jellegű sajátos elszámolások, melyeket a költségvetési számvitelben nem, hanem kizárólag a pénzügyi számvitelben lehet kimutatni. Az Áhsz. 48. § (8) bekezdése tartalmazza ezeket a követelés jellegű tételeket. (adott előlegek 3651. számla, támogatás, ellátás továbbadása céljából más szervezet fizetési számlájára folyósított összegek 3652. számla, más által beszedett, de más szervezetet megillető –bevételként a költségvetési szervnél elszámolandó – összegek 3653. számla, a helyi önkormányzatnál a nettó finanszírozás során a forgótőke elszámolása 3654. számla, a vagyonkezelésbe adó tulajdonosnál, tulajdonosi joggyakorló szervezetnél a vagyonkezelésbe adott eszközzel kapcsolatos visszapótlási követelés 3655. számla, folyósított, megelőlegezett tb. és családtámogatási ellátások a folyósítónál azok utólagos megtérítéséig 3657 számla, gazdasági társaság alapítása, jegyzett tőkéjének emelése vagy más részesedés megszerzése 3658. számla, letétre, megőrzésre, fedezetkezelésre átadott pénzeszközök, valamint a szerződés megerősítésével, szerződésszegéssel kapcsolatban nem véglegesen adatott pénzbiztosítékok 3659 szla.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követelés jellegű sajátos elszámolások könyvvezetése: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Felmerülésükkor a pénzügyi számvitelben kell rögzíteni. A költségvetési számvitelbe akkor kerülhet könyvelésre, ha ezekből a tételekből konkrét költségvetési kiadások lesznek. (adott előlegek rendezése, a téves összegek azonosítása során megállapítást nyert, hogy ezek a tételek a költségvetési szerv kiadásait képezik, a letéti, megőrzési, biztosítéki pénzek kerülnek valamilyen ok miatt visszautalásra és ez a költségvetési szerv kiadásaként jelenik meg stb.)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könyvvezetéshez szorosan ka</w:t>
      </w:r>
      <w:r w:rsidR="007C222A">
        <w:rPr>
          <w:rFonts w:ascii="Palatino Linotype" w:eastAsia="Times New Roman" w:hAnsi="Palatino Linotype" w:cs="Times New Roman"/>
          <w:lang w:eastAsia="hu-HU"/>
        </w:rPr>
        <w:t>pcsolódik</w:t>
      </w:r>
      <w:r w:rsidRPr="00D30A96">
        <w:rPr>
          <w:rFonts w:ascii="Palatino Linotype" w:eastAsia="Times New Roman" w:hAnsi="Palatino Linotype" w:cs="Times New Roman"/>
          <w:lang w:eastAsia="hu-HU"/>
        </w:rPr>
        <w:t xml:space="preserve"> a részletező nyilvántartások vezetési módja. A követelés jellegű sajátos elszámolásoknál az Áhsz. 14. sz. melléklete két esetben ír elő kötelező előírást; az egyik az adott előlegekre, a másik a kapott előlegekre vonatkozik.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követelés jellegű sajátos elszámolások mind az évközi, mind az éves adatszolgáltatásokban megjelennek.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Nem tartozik a követelés jellegű sajátos elszámolások körébe a 36. Sajátos elszámolások könyvviteli számlacsoport két számlája:</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pénzeszközök átvezetési számlája (361. számla),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azonosítás alatt álló tételek (363. számla).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kötelezettségeknél:</w:t>
      </w:r>
    </w:p>
    <w:p w:rsidR="00D30A96" w:rsidRPr="00D30A96" w:rsidRDefault="00D30A96" w:rsidP="00D30A96">
      <w:pPr>
        <w:numPr>
          <w:ilvl w:val="1"/>
          <w:numId w:val="5"/>
        </w:numPr>
        <w:autoSpaceDE w:val="0"/>
        <w:autoSpaceDN w:val="0"/>
        <w:adjustRightInd w:val="0"/>
        <w:spacing w:after="0" w:line="240" w:lineRule="auto"/>
        <w:ind w:left="2268"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függő kötelezettségek (pl. le nem zárt peres ügyek miatti kötelezettségek, kapott biztosítékokkal, fedezetekkel kapcsolatos függő kötelezettség),</w:t>
      </w:r>
    </w:p>
    <w:p w:rsidR="00D30A96" w:rsidRPr="00D30A96" w:rsidRDefault="00D30A96" w:rsidP="00D30A96">
      <w:pPr>
        <w:numPr>
          <w:ilvl w:val="1"/>
          <w:numId w:val="5"/>
        </w:numPr>
        <w:autoSpaceDE w:val="0"/>
        <w:autoSpaceDN w:val="0"/>
        <w:adjustRightInd w:val="0"/>
        <w:spacing w:after="0" w:line="240" w:lineRule="auto"/>
        <w:ind w:left="2268"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biztos jövőbeni kötelezettség;</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kötelezettségvállalás fogalmát az Áht. értelmező rendelkezései rögzítik, ennek megfelelően a kötelezettségvállalás a kiadási előirányzatok és – ha jogszabály azt lehetővé teszi – a 49. § szerinti lebonyolító szerv számára az Ávr-ben meghatározottak szerinti rendelkezésre bocsátott összeg terhére fizetési kötelezettség vállalásáról szóló – így különösen a foglalkoztatásra irányuló jogviszony létesítésére, szerződés megkötésére, költségvetési támogatás biztosítására irányuló – szabályszerűen megtett jognyilatkozat. Az </w:t>
      </w:r>
      <w:r w:rsidRPr="00D30A96">
        <w:rPr>
          <w:rFonts w:ascii="Palatino Linotype" w:eastAsia="Times New Roman" w:hAnsi="Palatino Linotype" w:cs="Times New Roman"/>
          <w:lang w:eastAsia="hu-HU"/>
        </w:rPr>
        <w:lastRenderedPageBreak/>
        <w:t>Ávr. még kötelezettségvállalásnak tekinti a közbeszerzésről szóló 2015. évi CXLIII. törvény (Kbt.) szerinti közbeszerzési eljárást megindító hirdetmény, részvételi. ajánlattételi felhívás – Kbt. 53. § (5) és (6) bekezdése alapján megindított közbeszerzési eljárás, valamint a 104. §-a alapján megindított olyan közbeszerzési eljárás, amelyben a keret-megállapodás önmagában fizetési kötelezettséget nem keletkeztet – kivételével a pályázati kiírás, továbbá minden olyan nyilatkozat, harmadik személlyel szemben vállalt kötelezettség, amely feltételesen, valamely személy nyilatkozatától függő fizetési kötelezettséget tanúsít. Azokban az esetekben, ha a közbeszerzési eljárás, pályázat eredménytelen lett, a fizetési kötelezettséget keletkeztető nyilatkozat nem történik meg, a korábban lekötött előirányzat lekötését fel kell oldani.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Áhsz. a kötelezettségvállalás fogalmát a számviteli elszámolások sorába emelte és kiegészítette a más fizetési kötelezettségekkel. (Áht. 36. § (1) bekezdése)</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két számvitelben könyvelt végleges kötelezettségvállalások és a kötelezettségek közötti illetve a költségvetési számvitelen belüli egyezőségek betartás</w:t>
      </w:r>
      <w:r w:rsidR="007C222A">
        <w:rPr>
          <w:rFonts w:ascii="Palatino Linotype" w:eastAsia="Times New Roman" w:hAnsi="Palatino Linotype" w:cs="Times New Roman"/>
          <w:lang w:eastAsia="hu-HU"/>
        </w:rPr>
        <w:t>a</w:t>
      </w:r>
      <w:r w:rsidRPr="00D30A96">
        <w:rPr>
          <w:rFonts w:ascii="Palatino Linotype" w:eastAsia="Times New Roman" w:hAnsi="Palatino Linotype" w:cs="Times New Roman"/>
          <w:lang w:eastAsia="hu-HU"/>
        </w:rPr>
        <w:t xml:space="preserve"> fontos, az egyezőségek a következők: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részletező nyilvántartásokban rögzített költségvetési évben esedékes végleges kötelezettségvállalások, más fizetési kötelezettségek összegének rovatonkénti bontásban meg kell egyeznie a költségvetési számvitelben a 0022. Költségvetési évben esedékes végleges kötelezettségvállalás, más fizetési kötelezettség nyilvántartási ellenszámlával szemben elszámolt a 05. nyilvántartási számlákon belül az adott rovathoz kapcsolódó 2-es végű számlák egyenlegével.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részletező nyilvántartásban rögzített költségvetési évet követően esedékes végleges kötelezettségvállalások, más fizetési kötelezettségek összegének rovatonkénti bontásban meg kell egyeznie a költségvetési számvitelben a 0024. Költségvetési évet követően esedékes végleges kötelezettségvállalás, más fizetési kötelezettség nyilvántartási ellenszámlával szemben elszámolt a 05. nyilvántartási számlákon belül az adott rovathoz kapcsolódó 2-es végű számlák egyenlegével.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05. nyilvántartási számlákon belül a K1-K9. rovatokhoz kapcsolódó költségvetési évben esedékes végleges kötelezettségvállalások, más fizetési kötelezettségek nyilvántartására szolgáló számlák teljesítéssel csökkentett egyenlegének meg kell egyeznie a költségvetési évben esedékes 421. könyvviteli számlák egyenlegével. Kivételt képez a K916. Pénzeszközök, lekötött bankbetétként elhelyezése rovaton elszámolt kiadások, mivel ezen a jogcímen ennél a rovatnál az Áhsz. előírásai alapján a kötelezettségvállalást, végleges kötelezettségvállalást nem lehet elszámolni.</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05. nyilvántartási számlákon belül a K1-K9. rovatokhoz kapcsolódó költségvetési évet követően esedékes végleges kötelezettségvállalások, más fizetési kötelezettségek nyilvántartására szolgáló számlák egyenlegének meg kell egyeznie a költségvetési évet követően esedékes kötelezettségek 422. könyvviteli számlák egyenlegével. Kivétel a K916. rovat.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kötelezettségvállalások és a kötelezettségek értékelési feladatai körébe a bekerülési érték meghatározása és az év végi értékelési feladatok tartoznak.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 xml:space="preserve">Bekerülési érték: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forintban keletkezett kötelezettségvállalás, más fizetési kötelezettség, végleges kötelezettségvállalás és kötelezettség bekerülési értéke mindig az adott gazdasági eseményhez kapcsolódó bekerülési értéktől függ.  A kötelezettség bekerülési értéke az egységes rovatrend kiadásaihoz kapcsolódóan vezetett nyilvántartási számlákon nyilvántartott végleges kötelezettségvállalások, más fizetési kötelezettségek összege.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Év végi értékelés:</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forintban kimutatott kötelezettségvállalásokat, más fizetési kötelezettségeket és kötelezettségeket év végén külön nem kell értékelni, az éves költségvetési beszámoló költségvetési jelentés és mérleg űrlapjain könyv szerinti értéken kell kimutatni.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kötelezettségvállalásokat, más fizetési kötelezettségeket, a végleges kötelezettségvállalásokat a költségvetési számvitelben, a kötelezettségeket a pénzügyi számvitelben kell kimutatni.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kötelezettségvállalások, más fizetési kötelezettségek nyilvántartási számláin a 002. Kötelezettségvállalás, más fizetési kötelezettség nyilvántartási ellenszámlával szemben történik, azok növekedésének és csökkenésének nyilvántartásba vétele attól függően, hogy az végleges vagy nem végleges, költségvetési évben esedékes, vagy költségvetési évet követően esedékes kötelezettségvállalásnak, más fizetési kötelezettségnek minősül.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Ávr. 46. § (2) – (4) bekezdésekben rögzített esetekhez tartozó kötelezettségvállalások, más fizetési kötelezettségeket a teljesítés határnapjára, határidejére tekintettel meg kell osztani a költségvetési évben esedékes és a költségvetési évet követően esedékes kötelezettségvállalások, más fizetési kötelezettségek között.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pénzügyi számvitelben a kötelezettségeket a 4. Források számlaosztályon belül a 42. Kötelezettségek számlacsoporton belül kell kimutatni. A 42. Kötelezettségek számlacsoporton belül el kell különíteni a költségvetési évben esedékes (421.) és a költségvetési évet követően esedékes (422.) kötelezettségeket. A 421. Költségvetési évben esedékes kötelezettségek előírt összegét csökkenteni kell a pénzügyi teljesítések összegével. A költségvetési számvitelben nyilvántartott végleges kötelezettségvállalás pénzügyi teljesítéssel történő csökkentett összegének meg kell egyeznie a 42. Kötelezettség számlacsoport számláival.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részletező nyilvántartások kötelező minimum tartalmát a kötelezettségvállalások, más fizetési kötelezettségek esetében is az Áhsz.14. sz. melléklete állapítja meg.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részletező nyilvántartásokban egyes sajátos kötelezettségvállalások, más fizetési kötelezettségek esetében külön adatok nyilvántartása is szükséges annak érdekében, hogy a jogszabályokban előírt kötelezettség biztosított legyen, az alábbiak szerint: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költségvetési támogatások és más hasonló ellenérték nélküli kifizetéseknél az elszámolás (beszámolás) határidejét, annak </w:t>
      </w:r>
      <w:r w:rsidRPr="00D30A96">
        <w:rPr>
          <w:rFonts w:ascii="Palatino Linotype" w:eastAsia="Times New Roman" w:hAnsi="Palatino Linotype" w:cs="Times New Roman"/>
          <w:lang w:eastAsia="hu-HU"/>
        </w:rPr>
        <w:lastRenderedPageBreak/>
        <w:t xml:space="preserve">teljesítésére, elfogadására vonatkozó adatokat, az esetleges visszafizetési kötelezettség előírása esetén a követelések nyilvántartásával való kapcsolatot, az elvégzett ellenőrzéseket,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visszatérítendő támogatások és más adott kölcsönök esetén a követelések nyilvántartásával való kapcsolatot,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közbeszerzési kötelezettség esetén a közbeszerzési dokumentációk megnevezését, iktatószámát, keltét,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termék vagy szolgáltatás beszerzése esetén a kapott számlák adatait oly módon, hogy abból az áfa bevallási kötelezettségnek eleget lehessen tenni, </w:t>
      </w:r>
    </w:p>
    <w:p w:rsidR="00D30A96" w:rsidRPr="00D30A96" w:rsidRDefault="00D30A96" w:rsidP="00D30A96">
      <w:pPr>
        <w:numPr>
          <w:ilvl w:val="0"/>
          <w:numId w:val="18"/>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felhalmozási kiadások esetén a beszerzett eszközök tekintetében az immateriális javak, tárgyi eszközök nyilvántartásával való kapcsolat.</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b/>
          <w:lang w:eastAsia="hu-HU"/>
        </w:rPr>
        <w:t>Függő kötelezettség:</w:t>
      </w:r>
      <w:r w:rsidRPr="00D30A96">
        <w:rPr>
          <w:rFonts w:ascii="Palatino Linotype" w:eastAsia="Times New Roman" w:hAnsi="Palatino Linotype" w:cs="Times New Roman"/>
          <w:lang w:eastAsia="hu-HU"/>
        </w:rPr>
        <w:t xml:space="preserve"> a számviteli törvény 3. § (8) bekezdés 14. pontja szerinti függő kötelezettségeket a költségvetési szervnek a költségvetési számvitel keretein belül a 04. Függő kötelezettségek számlacsoportban kell kimutatni.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számviteli törvény szerint a függő kötelezettség olyan – általában – harmadik személlyel szemben vállalt kötelezettség, amely a mérleg fordulónapján fennáll, de mérlegtételkénti szerepeltetése jövőbeni eseménytől függ. Függő kötelezettségek lehetnek pénzeszközre, illetve egyéb eszközre vonatkozóan. A 04. Függő kötelezettségek nyilvántartási számlára minden esetben a 006. Egyéb nyilvántartási ellenszámlával szemben kell könyvelni.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Kötelezettség jellegű sajátos elszámolásokat kizárólag a pénzügyi számvitelben lehet kimutatni. Az Áhsz. 48. § (9) bekezdése tartalmazza ezeket a kötelezettség jellegű tételeket.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Kötelezettség jellegű sajátos elszámolások lehetnek: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kapott előlegek 3671. számla, a támogatás továbbadása céljából más szervezet fizetési számlájára folyósított összegek 3672. számla, más által beszedett, de más szervezetet megillető 3673. számla, helyi önkormányzat nettó finanszírozása során a forgótőke elszámolása, visszapótlása 3674. számla, a nemzeti vagyonba tartozó befektetett eszközökkel kapcsolatos kötelezettség jellegű sajátos elszámolások 3675 számla, egyéb sajátos kötelezettség jellegű sajátos elszámolások 3679 számla)</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kötelezettség jellegű sajátos elszámolások mind az évközi, mind az éves adatszolgáltatásokban megjelennek.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befektetett eszközöknél:</w:t>
      </w:r>
    </w:p>
    <w:p w:rsidR="00D30A96" w:rsidRPr="00D30A96" w:rsidRDefault="00D30A96" w:rsidP="00D30A96">
      <w:pPr>
        <w:numPr>
          <w:ilvl w:val="1"/>
          <w:numId w:val="5"/>
        </w:numPr>
        <w:autoSpaceDE w:val="0"/>
        <w:autoSpaceDN w:val="0"/>
        <w:adjustRightInd w:val="0"/>
        <w:spacing w:after="0" w:line="240" w:lineRule="auto"/>
        <w:ind w:left="2268"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nulláig leírt, de használatban lévő eszközök, kis értékű immateriális javak és tárgyi eszközök,</w:t>
      </w:r>
    </w:p>
    <w:p w:rsidR="00D30A96" w:rsidRPr="00D30A96" w:rsidRDefault="00D30A96" w:rsidP="00D30A96">
      <w:pPr>
        <w:numPr>
          <w:ilvl w:val="1"/>
          <w:numId w:val="5"/>
        </w:numPr>
        <w:autoSpaceDE w:val="0"/>
        <w:autoSpaceDN w:val="0"/>
        <w:adjustRightInd w:val="0"/>
        <w:spacing w:after="0" w:line="240" w:lineRule="auto"/>
        <w:ind w:left="2268"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bérbevett eszközök,</w:t>
      </w:r>
    </w:p>
    <w:p w:rsidR="00D30A96" w:rsidRPr="00D30A96" w:rsidRDefault="00D30A96" w:rsidP="00D30A96">
      <w:pPr>
        <w:numPr>
          <w:ilvl w:val="1"/>
          <w:numId w:val="5"/>
        </w:numPr>
        <w:autoSpaceDE w:val="0"/>
        <w:autoSpaceDN w:val="0"/>
        <w:adjustRightInd w:val="0"/>
        <w:spacing w:after="0" w:line="240" w:lineRule="auto"/>
        <w:ind w:left="2268"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mennyiségi nyilvántartásban lévő eszközök (korábbi </w:t>
      </w:r>
      <w:r w:rsidRPr="00D30A96">
        <w:rPr>
          <w:rFonts w:ascii="Palatino Linotype" w:eastAsia="Times New Roman" w:hAnsi="Palatino Linotype" w:cs="Times New Roman"/>
          <w:lang w:eastAsia="hu-HU"/>
        </w:rPr>
        <w:sym w:font="Symbol" w:char="F02D"/>
      </w:r>
      <w:r w:rsidRPr="00D30A96">
        <w:rPr>
          <w:rFonts w:ascii="Palatino Linotype" w:eastAsia="Times New Roman" w:hAnsi="Palatino Linotype" w:cs="Times New Roman"/>
          <w:lang w:eastAsia="hu-HU"/>
        </w:rPr>
        <w:t xml:space="preserve"> 2014. január 1. előtt aktivált </w:t>
      </w:r>
      <w:r w:rsidRPr="00D30A96">
        <w:rPr>
          <w:rFonts w:ascii="Palatino Linotype" w:eastAsia="Times New Roman" w:hAnsi="Palatino Linotype" w:cs="Times New Roman"/>
          <w:lang w:eastAsia="hu-HU"/>
        </w:rPr>
        <w:sym w:font="Symbol" w:char="F02D"/>
      </w:r>
      <w:r w:rsidRPr="00D30A96">
        <w:rPr>
          <w:rFonts w:ascii="Palatino Linotype" w:eastAsia="Times New Roman" w:hAnsi="Palatino Linotype" w:cs="Times New Roman"/>
          <w:lang w:eastAsia="hu-HU"/>
        </w:rPr>
        <w:t xml:space="preserve"> kis értékű immateriális javak és tárgyi eszközök);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shd w:val="clear" w:color="auto" w:fill="FFFFFF"/>
        <w:spacing w:after="0" w:line="300" w:lineRule="atLeast"/>
        <w:jc w:val="both"/>
        <w:rPr>
          <w:rFonts w:ascii="Palatino Linotype" w:eastAsia="Times New Roman" w:hAnsi="Palatino Linotype" w:cs="Arial"/>
          <w:b/>
          <w:bCs/>
          <w:color w:val="40403D"/>
          <w:lang w:eastAsia="hu-HU"/>
        </w:rPr>
      </w:pPr>
    </w:p>
    <w:p w:rsidR="00D30A96" w:rsidRPr="00D30A96" w:rsidRDefault="00D30A96" w:rsidP="00D30A96">
      <w:pPr>
        <w:shd w:val="clear" w:color="auto" w:fill="FFFFFF"/>
        <w:spacing w:after="0" w:line="300" w:lineRule="atLeast"/>
        <w:jc w:val="both"/>
        <w:rPr>
          <w:rFonts w:ascii="Palatino Linotype" w:eastAsia="Times New Roman" w:hAnsi="Palatino Linotype" w:cs="Arial"/>
          <w:b/>
          <w:bCs/>
          <w:color w:val="40403D"/>
          <w:lang w:eastAsia="hu-HU"/>
        </w:rPr>
      </w:pPr>
      <w:r w:rsidRPr="00D30A96">
        <w:rPr>
          <w:rFonts w:ascii="Palatino Linotype" w:eastAsia="Times New Roman" w:hAnsi="Palatino Linotype" w:cs="Arial"/>
          <w:b/>
          <w:bCs/>
          <w:color w:val="40403D"/>
          <w:lang w:eastAsia="hu-HU"/>
        </w:rPr>
        <w:t>A költségvetési szerv tárgyi eszközeinek körében is meg kell különböz</w:t>
      </w:r>
      <w:r w:rsidR="007C222A">
        <w:rPr>
          <w:rFonts w:ascii="Palatino Linotype" w:eastAsia="Times New Roman" w:hAnsi="Palatino Linotype" w:cs="Arial"/>
          <w:b/>
          <w:bCs/>
          <w:color w:val="40403D"/>
          <w:lang w:eastAsia="hu-HU"/>
        </w:rPr>
        <w:t>t</w:t>
      </w:r>
      <w:r w:rsidRPr="00D30A96">
        <w:rPr>
          <w:rFonts w:ascii="Palatino Linotype" w:eastAsia="Times New Roman" w:hAnsi="Palatino Linotype" w:cs="Arial"/>
          <w:b/>
          <w:bCs/>
          <w:color w:val="40403D"/>
          <w:lang w:eastAsia="hu-HU"/>
        </w:rPr>
        <w:t xml:space="preserve">etni a kis értékű tárgyi eszközöket. Az Áhsz. ennek fogalmi meghatározásánál is eltér a számviteli törvény által alkalmazott szabályoktól. Az Áhsz. szerint kis értékű tárgyi eszközök körébe tartozik minden olyan tárgyi eszköznek minősített eszköz, amelynek az egyedi bekerülési értéke </w:t>
      </w:r>
      <w:r w:rsidRPr="00D30A96">
        <w:rPr>
          <w:rFonts w:ascii="Palatino Linotype" w:eastAsia="Times New Roman" w:hAnsi="Palatino Linotype" w:cs="Arial"/>
          <w:b/>
          <w:bCs/>
          <w:color w:val="40403D"/>
          <w:lang w:eastAsia="hu-HU"/>
        </w:rPr>
        <w:lastRenderedPageBreak/>
        <w:t xml:space="preserve">nem haladja meg a 200 000 Ft-ot. A költségvetési szerv 2014. előtti számviteli előírásokkal ellentétben nem választhatják meg azt, hogy egy kisértékű eszköznél milyen elszámolási módot alkalmaznak. A jelenlegi elszámolási szabályok szerint, ha egy tárgyi eszköznek minősített eszköz egyedi bekerülési értéke nem éri el a 200 000 Ft-ot, akkor az kisértékű tárgyi eszköznek minősül. Ez a gyakorlatban azt jelenti, hogy az adott kisértékű eszköz bekerülési értékét állományba kell venni a 151. Befejezetlen beruházás számlán, majd az üzembe-helyezést követően át kell vezetni a megfelelő tárgyi eszköz számlára. Ezzel egyidejűleg a bekerülési értékkel egyező összegben el kell számolni </w:t>
      </w:r>
      <w:r w:rsidR="007C222A">
        <w:rPr>
          <w:rFonts w:ascii="Palatino Linotype" w:eastAsia="Times New Roman" w:hAnsi="Palatino Linotype" w:cs="Arial"/>
          <w:b/>
          <w:bCs/>
          <w:color w:val="40403D"/>
          <w:lang w:eastAsia="hu-HU"/>
        </w:rPr>
        <w:t>e</w:t>
      </w:r>
      <w:r w:rsidRPr="00D30A96">
        <w:rPr>
          <w:rFonts w:ascii="Palatino Linotype" w:eastAsia="Times New Roman" w:hAnsi="Palatino Linotype" w:cs="Arial"/>
          <w:b/>
          <w:bCs/>
          <w:color w:val="40403D"/>
          <w:lang w:eastAsia="hu-HU"/>
        </w:rPr>
        <w:t xml:space="preserve">gy összegben a terv szerinti értékcsökkenést. </w:t>
      </w:r>
    </w:p>
    <w:p w:rsidR="00D30A96" w:rsidRPr="00D30A96" w:rsidRDefault="00D30A96" w:rsidP="00D30A96">
      <w:pPr>
        <w:shd w:val="clear" w:color="auto" w:fill="FFFFFF"/>
        <w:spacing w:after="0" w:line="300" w:lineRule="atLeast"/>
        <w:jc w:val="both"/>
        <w:rPr>
          <w:rFonts w:ascii="Palatino Linotype" w:eastAsia="Times New Roman" w:hAnsi="Palatino Linotype" w:cs="Arial"/>
          <w:b/>
          <w:bCs/>
          <w:color w:val="40403D"/>
          <w:lang w:eastAsia="hu-HU"/>
        </w:rPr>
      </w:pPr>
      <w:r w:rsidRPr="00D30A96">
        <w:rPr>
          <w:rFonts w:ascii="Palatino Linotype" w:eastAsia="Times New Roman" w:hAnsi="Palatino Linotype" w:cs="Arial"/>
          <w:b/>
          <w:bCs/>
          <w:color w:val="40403D"/>
          <w:lang w:eastAsia="hu-HU"/>
        </w:rPr>
        <w:t>Ez alól kizárólag az olyan eszközök esetében van lehetőség kivételre, ahol a költségvetési szervnek az értékállóságot biztosítania kell. Ilyen eszközök körébe tartoznak azok, amelyeknél a költségvetési szeri szerv az adott eszközt úgy minősítette, hogy annak értéke rendeltetésszerű használat során nem veszít az értékéből, a különleges helyzetéből, egyedi mivoltából adódóan évről évre nő az értéke. (pl. kisértékű képzőművészeti alkotások, kulturális tárgyak)</w:t>
      </w:r>
    </w:p>
    <w:p w:rsidR="00D30A96" w:rsidRPr="00D30A96" w:rsidRDefault="00D30A96" w:rsidP="00D30A96">
      <w:pPr>
        <w:shd w:val="clear" w:color="auto" w:fill="FFFFFF"/>
        <w:spacing w:after="0" w:line="300" w:lineRule="atLeast"/>
        <w:jc w:val="both"/>
        <w:rPr>
          <w:rFonts w:ascii="Palatino Linotype" w:eastAsia="Times New Roman" w:hAnsi="Palatino Linotype" w:cs="Arial"/>
          <w:b/>
          <w:bCs/>
          <w:color w:val="40403D"/>
          <w:lang w:eastAsia="hu-HU"/>
        </w:rPr>
      </w:pPr>
      <w:r w:rsidRPr="00D30A96">
        <w:rPr>
          <w:rFonts w:ascii="Palatino Linotype" w:eastAsia="Times New Roman" w:hAnsi="Palatino Linotype" w:cs="Arial"/>
          <w:b/>
          <w:bCs/>
          <w:color w:val="40403D"/>
          <w:lang w:eastAsia="hu-HU"/>
        </w:rPr>
        <w:t>A költségvetési szervnek a tárgyi eszközök elszámolásainál mind a költségvetési mind pedig a pénzügyi számvitelben rögzíteni kell az adatokat. A költségvetési számvitelben kizárólag azokat a tételeket kell könyvelni, amelyek a pénzforgalomban is megjelennek. A költségvetési számvitelben a pénzforgalomban megjelenő tételekre a rovatrendben kijelölt rovatokat kell alkalmazni. (Beruházások: K62, K63, K64, K67, K71, K72, K73, K74. )</w:t>
      </w:r>
    </w:p>
    <w:p w:rsidR="00D30A96" w:rsidRPr="00D30A96" w:rsidRDefault="00D30A96" w:rsidP="00D30A96">
      <w:pPr>
        <w:shd w:val="clear" w:color="auto" w:fill="FFFFFF"/>
        <w:spacing w:after="0" w:line="300" w:lineRule="atLeast"/>
        <w:jc w:val="both"/>
        <w:rPr>
          <w:rFonts w:ascii="Palatino Linotype" w:eastAsia="Times New Roman" w:hAnsi="Palatino Linotype" w:cs="Arial"/>
          <w:b/>
          <w:bCs/>
          <w:color w:val="40403D"/>
          <w:lang w:eastAsia="hu-HU"/>
        </w:rPr>
      </w:pPr>
    </w:p>
    <w:p w:rsidR="00D30A96" w:rsidRPr="00D30A96" w:rsidRDefault="00D30A96" w:rsidP="00D30A96">
      <w:pPr>
        <w:shd w:val="clear" w:color="auto" w:fill="FFFFFF"/>
        <w:spacing w:after="0" w:line="300" w:lineRule="atLeast"/>
        <w:jc w:val="both"/>
        <w:rPr>
          <w:rFonts w:ascii="Palatino Linotype" w:eastAsia="Times New Roman" w:hAnsi="Palatino Linotype" w:cs="Arial"/>
          <w:b/>
          <w:bCs/>
          <w:color w:val="40403D"/>
          <w:lang w:eastAsia="hu-HU"/>
        </w:rPr>
      </w:pPr>
      <w:r w:rsidRPr="00D30A96">
        <w:rPr>
          <w:rFonts w:ascii="Palatino Linotype" w:eastAsia="Times New Roman" w:hAnsi="Palatino Linotype" w:cs="Arial"/>
          <w:b/>
          <w:bCs/>
          <w:color w:val="40403D"/>
          <w:lang w:eastAsia="hu-HU"/>
        </w:rPr>
        <w:t xml:space="preserve">A pénzügyi számvitelben teljesítményszemléletben – döntően – az 1. számlaosztályban kell a tárgyi eszközök állományváltozásait rögzíteni. Az 1. számlaosztályban a tárgyi eszközök állományának nyilvántartására kijelölt számlák: 121. Ingatlanok, 122. Ingatlanokhoz kapcsolódó vagyoni értékű jogok, 126. Ingatlanok és kapcsolódó vagyoni értékű jogok értékhelyesbítése, 128. Ingatlanok és kapcsolódó vagyoni értékű jogok terven felüli értékcsökkenése és annak visszaírása, 129. Ingatlanok és kapcsolódó vagyoni értékű jogok terv szerinti értékcsökkenése, 131. Gépek, berendezések, felszerelések, járművek, 136. Gépek, berendezések, felszerelések járművek értékhelyesbítése, 138. Gépek, berendezések, felszerelések, járművek terven felüli értékcsökkenése és annak visszaírása, 139. Gépek, berendezések, felszerelések, járművek terv szerinti értékcsökkenése, 141. Tenyészállatok, 146. Tenyészállatok értékhelyesbítése, 148. Tenyészállatok terven felüli értékcsökkenése, 149. Tenyészállatok terv szerinti értékcsökkenése, 151. Befejezetlen beruházások, 152. Befejezetlen felújítások, 158. Beruházások terven felüli értékcsökkenése. </w:t>
      </w:r>
    </w:p>
    <w:p w:rsidR="00D30A96" w:rsidRPr="00D30A96" w:rsidRDefault="00D30A96" w:rsidP="00D30A96">
      <w:pPr>
        <w:shd w:val="clear" w:color="auto" w:fill="FFFFFF"/>
        <w:spacing w:after="0" w:line="300" w:lineRule="atLeast"/>
        <w:jc w:val="both"/>
        <w:rPr>
          <w:rFonts w:ascii="Palatino Linotype" w:eastAsia="Times New Roman" w:hAnsi="Palatino Linotype" w:cs="Arial"/>
          <w:b/>
          <w:bCs/>
          <w:color w:val="40403D"/>
          <w:lang w:eastAsia="hu-HU"/>
        </w:rPr>
      </w:pPr>
    </w:p>
    <w:p w:rsidR="00D30A96" w:rsidRPr="00D30A96" w:rsidRDefault="00D30A96" w:rsidP="00D30A96">
      <w:pPr>
        <w:shd w:val="clear" w:color="auto" w:fill="FFFFFF"/>
        <w:spacing w:after="0" w:line="300" w:lineRule="atLeast"/>
        <w:jc w:val="both"/>
        <w:rPr>
          <w:rFonts w:ascii="Palatino Linotype" w:eastAsia="Times New Roman" w:hAnsi="Palatino Linotype" w:cs="Arial"/>
          <w:b/>
          <w:bCs/>
          <w:color w:val="40403D"/>
          <w:lang w:eastAsia="hu-HU"/>
        </w:rPr>
      </w:pPr>
      <w:r w:rsidRPr="00D30A96">
        <w:rPr>
          <w:rFonts w:ascii="Palatino Linotype" w:eastAsia="Times New Roman" w:hAnsi="Palatino Linotype" w:cs="Arial"/>
          <w:b/>
          <w:bCs/>
          <w:color w:val="40403D"/>
          <w:lang w:eastAsia="hu-HU"/>
        </w:rPr>
        <w:t xml:space="preserve">A pénzügyi számvitelben a költségvetési szervnek a 01. és 02. számlacsoportban olyan nyilvántartási számlákat is meg kell nyitni, ahol olyan tételeket tartanak nyilván, amelyek nem befolyásolják a mérleg szerinti eredményt és a saját tőke összegét. </w:t>
      </w:r>
    </w:p>
    <w:p w:rsidR="00D30A96" w:rsidRPr="00D30A96" w:rsidRDefault="00D30A96" w:rsidP="00D30A96">
      <w:pPr>
        <w:shd w:val="clear" w:color="auto" w:fill="FFFFFF"/>
        <w:spacing w:after="0" w:line="300" w:lineRule="atLeast"/>
        <w:jc w:val="both"/>
        <w:rPr>
          <w:rFonts w:ascii="Palatino Linotype" w:eastAsia="Times New Roman" w:hAnsi="Palatino Linotype" w:cs="Arial"/>
          <w:bCs/>
          <w:color w:val="40403D"/>
          <w:lang w:eastAsia="hu-HU"/>
        </w:rPr>
      </w:pPr>
    </w:p>
    <w:p w:rsidR="00D30A96" w:rsidRPr="00D30A96" w:rsidRDefault="00D30A96" w:rsidP="00D30A96">
      <w:pPr>
        <w:shd w:val="clear" w:color="auto" w:fill="FFFFFF"/>
        <w:spacing w:after="0" w:line="300" w:lineRule="atLeast"/>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 xml:space="preserve">A 01. Befektetett eszközök számlacsoporton belül kell nyilvántartani az olyan értékkel rendelkező befektetett eszköznek minősülő eszközöket, amelyek nem szerepeltethetők a mérlegben. Ide tartoznak a bérbe vett, letétbe, bizományba, üzemeltetésre átvett, valamint az idegen tulajdonban levő, a magánszféra együttműködésén alapuló (PPP) konstrukció alapján befektetett eszközök. </w:t>
      </w:r>
    </w:p>
    <w:p w:rsidR="00D30A96" w:rsidRPr="00D30A96" w:rsidRDefault="00D30A96" w:rsidP="00D30A96">
      <w:pPr>
        <w:shd w:val="clear" w:color="auto" w:fill="FFFFFF"/>
        <w:spacing w:after="0" w:line="300" w:lineRule="atLeast"/>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lastRenderedPageBreak/>
        <w:t xml:space="preserve">Az Áhsz. 14. sz. melléklete tartalmazza a könyvviteli számlákhoz kapcsolódó részletező nyilvántartások minimum tartalmát. A részletező nyilvántartásokat azokban az esetekben kötelező alkalmazni, amely eszközcsportok a 14. sz. mellékletben rögzítésre kerültek. </w:t>
      </w:r>
    </w:p>
    <w:p w:rsidR="00D30A96" w:rsidRPr="00D30A96" w:rsidRDefault="00D30A96" w:rsidP="00D30A96">
      <w:pPr>
        <w:shd w:val="clear" w:color="auto" w:fill="FFFFFF"/>
        <w:spacing w:after="0" w:line="300" w:lineRule="atLeast"/>
        <w:jc w:val="both"/>
        <w:rPr>
          <w:rFonts w:ascii="Palatino Linotype" w:eastAsia="Times New Roman" w:hAnsi="Palatino Linotype" w:cs="Arial"/>
          <w:bCs/>
          <w:lang w:eastAsia="hu-HU"/>
        </w:rPr>
      </w:pPr>
    </w:p>
    <w:p w:rsidR="00D30A96" w:rsidRPr="00D30A96" w:rsidRDefault="00D30A96" w:rsidP="00D30A96">
      <w:pPr>
        <w:shd w:val="clear" w:color="auto" w:fill="FFFFFF"/>
        <w:spacing w:after="0" w:line="300" w:lineRule="atLeast"/>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 xml:space="preserve">A kisértékű tárgyi eszközök esetében szűkebb adattartalmú nyilvántartást kell vezetni. </w:t>
      </w:r>
    </w:p>
    <w:p w:rsidR="00D30A96" w:rsidRPr="00D30A96" w:rsidRDefault="00D30A96" w:rsidP="00D30A96">
      <w:pPr>
        <w:shd w:val="clear" w:color="auto" w:fill="FFFFFF"/>
        <w:spacing w:after="0" w:line="300" w:lineRule="atLeast"/>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A nyilvántartási szabályokat alkalmazni kell a még használatba nem vett, de a beruházások között elszámolt eszközökre is.</w:t>
      </w:r>
    </w:p>
    <w:p w:rsidR="00D30A96" w:rsidRPr="00D30A96" w:rsidRDefault="00D30A96" w:rsidP="00D30A96">
      <w:pPr>
        <w:shd w:val="clear" w:color="auto" w:fill="FFFFFF"/>
        <w:spacing w:after="0" w:line="300" w:lineRule="atLeast"/>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 xml:space="preserve">Annak érdekében, hogy a költségvetési szerv megfeleljen a nyilvántartási feladatoknak, az alábbi bizonylatokat alkalmazza: </w:t>
      </w:r>
    </w:p>
    <w:p w:rsidR="00D30A96" w:rsidRPr="00D30A96" w:rsidRDefault="00D30A96" w:rsidP="00D30A96">
      <w:pPr>
        <w:numPr>
          <w:ilvl w:val="0"/>
          <w:numId w:val="18"/>
        </w:numPr>
        <w:shd w:val="clear" w:color="auto" w:fill="FFFFFF"/>
        <w:spacing w:after="0" w:line="300" w:lineRule="atLeast"/>
        <w:contextualSpacing/>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állománybavételi bizonylat,</w:t>
      </w:r>
    </w:p>
    <w:p w:rsidR="00D30A96" w:rsidRPr="00D30A96" w:rsidRDefault="00D30A96" w:rsidP="00D30A96">
      <w:pPr>
        <w:numPr>
          <w:ilvl w:val="0"/>
          <w:numId w:val="18"/>
        </w:numPr>
        <w:shd w:val="clear" w:color="auto" w:fill="FFFFFF"/>
        <w:spacing w:after="0" w:line="300" w:lineRule="atLeast"/>
        <w:contextualSpacing/>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 xml:space="preserve">egyedi nyilvántartó lap, </w:t>
      </w:r>
    </w:p>
    <w:p w:rsidR="00D30A96" w:rsidRPr="00D30A96" w:rsidRDefault="00D30A96" w:rsidP="00D30A96">
      <w:pPr>
        <w:numPr>
          <w:ilvl w:val="0"/>
          <w:numId w:val="18"/>
        </w:numPr>
        <w:shd w:val="clear" w:color="auto" w:fill="FFFFFF"/>
        <w:spacing w:after="0" w:line="300" w:lineRule="atLeast"/>
        <w:contextualSpacing/>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állománycsökkenési bizonylat,</w:t>
      </w:r>
    </w:p>
    <w:p w:rsidR="00D30A96" w:rsidRPr="00D30A96" w:rsidRDefault="00D30A96" w:rsidP="00D30A96">
      <w:pPr>
        <w:numPr>
          <w:ilvl w:val="0"/>
          <w:numId w:val="18"/>
        </w:numPr>
        <w:shd w:val="clear" w:color="auto" w:fill="FFFFFF"/>
        <w:spacing w:after="0" w:line="300" w:lineRule="atLeast"/>
        <w:contextualSpacing/>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 xml:space="preserve">átadás-átvételi bizonylat. </w:t>
      </w:r>
    </w:p>
    <w:p w:rsidR="00D30A96" w:rsidRPr="00D30A96" w:rsidRDefault="00D30A96" w:rsidP="00D30A96">
      <w:pPr>
        <w:shd w:val="clear" w:color="auto" w:fill="FFFFFF"/>
        <w:spacing w:after="0" w:line="300" w:lineRule="atLeast"/>
        <w:jc w:val="both"/>
        <w:rPr>
          <w:rFonts w:ascii="Palatino Linotype" w:eastAsia="Times New Roman" w:hAnsi="Palatino Linotype" w:cs="Arial"/>
          <w:bCs/>
          <w:lang w:eastAsia="hu-HU"/>
        </w:rPr>
      </w:pPr>
      <w:r w:rsidRPr="00D30A96">
        <w:rPr>
          <w:rFonts w:ascii="Palatino Linotype" w:eastAsia="Times New Roman" w:hAnsi="Palatino Linotype" w:cs="Arial"/>
          <w:bCs/>
          <w:lang w:eastAsia="hu-HU"/>
        </w:rPr>
        <w:t xml:space="preserve">A költségvetési szerv alkalmazza az analitikus és főkönyvi nyilvántartásában a csoportos nyilvántartást is. </w:t>
      </w:r>
    </w:p>
    <w:p w:rsidR="00D30A96" w:rsidRPr="00D30A96" w:rsidRDefault="00D30A96" w:rsidP="00D30A96">
      <w:pPr>
        <w:shd w:val="clear" w:color="auto" w:fill="FFFFFF"/>
        <w:spacing w:after="0" w:line="300" w:lineRule="atLeast"/>
        <w:jc w:val="both"/>
        <w:rPr>
          <w:rFonts w:ascii="Arial" w:eastAsia="Times New Roman" w:hAnsi="Arial" w:cs="Arial"/>
          <w:color w:val="40403D"/>
          <w:sz w:val="21"/>
          <w:szCs w:val="21"/>
          <w:lang w:eastAsia="hu-HU"/>
        </w:rPr>
      </w:pP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készleteknél:</w:t>
      </w:r>
    </w:p>
    <w:p w:rsidR="00D30A96" w:rsidRPr="00D30A96" w:rsidRDefault="00D30A96" w:rsidP="00D30A96">
      <w:pPr>
        <w:numPr>
          <w:ilvl w:val="1"/>
          <w:numId w:val="5"/>
        </w:numPr>
        <w:autoSpaceDE w:val="0"/>
        <w:autoSpaceDN w:val="0"/>
        <w:adjustRightInd w:val="0"/>
        <w:spacing w:after="0" w:line="240" w:lineRule="auto"/>
        <w:ind w:left="2268"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mennyiségi nyilvántartásban lévő eszközök (pl. használatban lévő készletek).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240" w:line="285" w:lineRule="atLeast"/>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készletek nyilvántartására vonatkozó fő szabály, hogy analitikában mind mennyiségben, mind értékben nyilván kell tartani. A jogszabály szerint nem kell értékben nyilvántartani a használt, illetve a használatban lévő munkahelyi készleteket, de mennyiségi nyilvántartás vezetése ezekről is kötelező. Ez alól az egyszeri igénybevétellel elhasználódott készletek jelentenek kivételt. Az egyszeri igénybevétellel elhasználódott készletek, amelyek már egyszeri használatuk alkalmával megsemmisülnek, ismételt használatára már nincs mód, ezek pl. szalvéta, papír, élelmiszerek, csomagolásra használt egyszer használatos műanyag dobozok stb.</w:t>
      </w:r>
    </w:p>
    <w:p w:rsidR="00D30A96" w:rsidRPr="00D30A96" w:rsidRDefault="00D30A96" w:rsidP="00D30A96">
      <w:pPr>
        <w:spacing w:after="240" w:line="285" w:lineRule="atLeast"/>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Mindezekből az következik, hogy az egyszeri igénybevétellel elhasználódott készletekről sem mennyiségi, sem értékbeli nyilvántartást nem tesz kötelezővé a jogalkotó. A 2. számlaosztályban, a főkönyvi szám alábontásával történik meg az egyszeri igénybevétellel elhasználódott készlet és el nem használódott készletek elkülönítése. Az egyszeri igénybevétellel el nem használódott készletek pl. a textíliák, szerszámok.</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mérlegben a készleteken belül kell kimutatni a vásárolt készleteket, az átsorolt, követelés fejében átvett készleteket, az egyéb készleteket, a befejezetlen termelést, félkész termékek, késztermékek értékét, és a növendék, hízó- és egyéb állatokat.</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mérlegben a vásárolt készletek között kell kimutatni az anyagokat és az árukat.</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mérlegben az anyagok között kell kimutatni a tevékenységet legfeljebb egy évig szolgáló, de még használatba nem vett vásárolt, csere útján kapott, térítés nélkül átvett és a gazdasági társaságban lévő tulajdoni részesedést jelentő befektetés névértéke fejében a jegyzett tőke leszállításakor átvett anyagi eszközöket.</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mérlegben az áruk között kell kimutatni:</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lastRenderedPageBreak/>
        <w:t>a) az olyan értékesítési céllal beszerzett anyagi eszközöket - ideértve a betétdíjas göngyölegeket is -, amelyek a beszerzés és az értékesítés között változatlan állapotban maradnak, bár értékük változhat, és</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b) a pénzügyi lízing keretében átadott, a részletfizetéssel, a halasztott fizetéssel értékesített és a szerződés szerinti feltételek teljesülésének meghiúsulása miatt később visszavett, a két időpont között a vevő által használt eszközöket.</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mérlegben a befejezetlen termelés, félkész termékek, késztermékek között az olyan saját előállítású anyagi eszközök költségeit kell kimutatni, amelyek az értékesítést megelőzően a termelés, a feldolgozás valamely fázisában vannak, vagy amelyek feldolgozott, elkészült állapotban értékesítésre várnak.</w:t>
      </w:r>
    </w:p>
    <w:p w:rsidR="00D30A96" w:rsidRPr="00D30A96" w:rsidRDefault="00D30A96" w:rsidP="00D30A96">
      <w:pPr>
        <w:spacing w:after="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késztermékek bekerülési értéke az Szt. 62. §-ának (2) bekezdése szerint számított előállítási érték.</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saját termelésű készleteknél (befejezetlen termelés, félkész és késztermék, állatok) előállítási érték az 51. § szerinti közvetlen önköltség, vagy az átlagos (súlyozott) közvetlen önköltség, vagy a FIFO-módszer szerint meghatározott közvetlen önköltség. A közvetlen önköltség utókalkulációval meghatározott vagy norma szerinti közvetlen önköltség lehet. A mérlegben a befejezetlen termelés, félkész termékek, késztermékek között az olyan saját előállítású anyagi eszközök költségeit kell kimutatni, amelyek az értékesítést megelőzően a termelés, a feldolgozás valamely fázisában vannak, vagy amelyek feldolgozott, elkészült állapotban értékesítésre várnak.</w:t>
      </w:r>
    </w:p>
    <w:p w:rsidR="00D30A96" w:rsidRPr="00D30A96" w:rsidRDefault="00D30A96" w:rsidP="00D30A96">
      <w:pPr>
        <w:spacing w:after="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Az Szt. 51. §-ának (1) bekezdése alapján az eszköz bekerülési (előállítási) értékének részét képezik azok a költségek, amelyek:</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az eszköz (termék) előállítása, üzembe helyezése, bővítése, rendeltetésének megváltoztatása, átalakítása, eredeti állagának helyreállítása során közvetlenül felmerültek,</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b) az előállítással bizonyíthatóan szoros kapcsolatban voltak, továbbá</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c) az eszközre (termékre) megfelelő mutatók, jellemzők segítségével elszámolhatók</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(együttesen: közvetlen önköltség).</w:t>
      </w:r>
    </w:p>
    <w:p w:rsidR="00D30A96" w:rsidRPr="00D30A96" w:rsidRDefault="00D30A96" w:rsidP="00D30A96">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passzív időbeli elhatárolások között halasztott bevételként kell kimutatni a rendkívüli bevételként elszámolt térítés nélkül (visszaadási kötelezettség nélkül) átvett eszközök, továbbá az ajándékként, a hagyatékként kapott, a többletként fellelt eszközök piaci - illetve jogszabály eltérő rendelkezése esetén a jogszabály szerinti - értékét.</w:t>
      </w:r>
    </w:p>
    <w:p w:rsidR="00D30A96" w:rsidRPr="00D30A96" w:rsidRDefault="00D30A96" w:rsidP="00D30A96">
      <w:pPr>
        <w:spacing w:after="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Az Szt. 86. §-ának (4) bekezdése szerinti tételeket halasztott eredményszemléletű bevételként el kell határolni.</w:t>
      </w:r>
    </w:p>
    <w:p w:rsidR="00D30A96" w:rsidRPr="00834DA9" w:rsidRDefault="00D30A96" w:rsidP="00834DA9">
      <w:pPr>
        <w:spacing w:after="240" w:line="240" w:lineRule="auto"/>
        <w:jc w:val="both"/>
        <w:rPr>
          <w:rFonts w:ascii="Palatino Linotype" w:eastAsia="Times New Roman" w:hAnsi="Palatino Linotype" w:cs="Arial"/>
          <w:lang w:eastAsia="hu-HU"/>
        </w:rPr>
      </w:pPr>
      <w:r w:rsidRPr="00D30A96">
        <w:rPr>
          <w:rFonts w:ascii="Palatino Linotype" w:eastAsia="Times New Roman" w:hAnsi="Palatino Linotype" w:cs="Arial"/>
          <w:lang w:eastAsia="hu-HU"/>
        </w:rPr>
        <w:t>A rendkívüli bevételek között kell elszámolni, de halasztott bevételként időbelileg el kell határolni a térítés nélkül átvett eszközök, továbbá az ajándékként, a hagyatékként kapott, a többletként fellelt eszközök piaci - illetve jogszabály eltérő rendelkezése esetén a jogszabály szerinti - értékét. (</w:t>
      </w:r>
      <w:r w:rsidRPr="00D30A96">
        <w:rPr>
          <w:rFonts w:ascii="Palatino Linotype" w:eastAsia="Times New Roman" w:hAnsi="Palatino Linotype" w:cs="Arial"/>
          <w:shd w:val="clear" w:color="auto" w:fill="FFFFFF"/>
          <w:lang w:eastAsia="hu-HU"/>
        </w:rPr>
        <w:t xml:space="preserve">38/2013. NGM rendelet V. fejezet) </w:t>
      </w:r>
    </w:p>
    <w:p w:rsidR="00D30A96" w:rsidRPr="00D30A96" w:rsidRDefault="00D30A96" w:rsidP="00D30A96">
      <w:pPr>
        <w:numPr>
          <w:ilvl w:val="0"/>
          <w:numId w:val="17"/>
        </w:numPr>
        <w:spacing w:after="0" w:line="240" w:lineRule="auto"/>
        <w:contextualSpacing/>
        <w:jc w:val="both"/>
        <w:outlineLvl w:val="1"/>
        <w:rPr>
          <w:rFonts w:ascii="Palatino Linotype" w:eastAsia="Times New Roman" w:hAnsi="Palatino Linotype" w:cs="Times New Roman"/>
          <w:b/>
          <w:lang w:eastAsia="hu-HU"/>
        </w:rPr>
      </w:pPr>
      <w:bookmarkStart w:id="19" w:name="_Toc381619497"/>
      <w:bookmarkEnd w:id="17"/>
      <w:r w:rsidRPr="00D30A96">
        <w:rPr>
          <w:rFonts w:ascii="Palatino Linotype" w:eastAsia="Times New Roman" w:hAnsi="Palatino Linotype" w:cs="Times New Roman"/>
          <w:b/>
          <w:lang w:eastAsia="hu-HU"/>
        </w:rPr>
        <w:t>Az eszközök értékelési szabályai</w:t>
      </w:r>
      <w:bookmarkEnd w:id="19"/>
    </w:p>
    <w:p w:rsidR="00D30A96" w:rsidRPr="00D30A96" w:rsidRDefault="00D30A96" w:rsidP="00D30A96">
      <w:pPr>
        <w:spacing w:after="0" w:line="240" w:lineRule="auto"/>
        <w:jc w:val="both"/>
        <w:outlineLvl w:val="1"/>
        <w:rPr>
          <w:rFonts w:ascii="Palatino Linotype" w:eastAsia="Times New Roman" w:hAnsi="Palatino Linotype" w:cs="Times New Roman"/>
          <w:lang w:eastAsia="hu-HU"/>
        </w:rPr>
      </w:pPr>
    </w:p>
    <w:p w:rsidR="00D30A96" w:rsidRPr="00D30A96" w:rsidRDefault="00D30A96" w:rsidP="00D30A96">
      <w:pPr>
        <w:spacing w:after="0" w:line="240" w:lineRule="auto"/>
        <w:jc w:val="both"/>
        <w:outlineLvl w:val="1"/>
        <w:rPr>
          <w:rFonts w:ascii="Palatino Linotype" w:eastAsia="Times New Roman" w:hAnsi="Palatino Linotype" w:cs="Times New Roman"/>
          <w:b/>
          <w:lang w:eastAsia="hu-HU"/>
        </w:rPr>
      </w:pPr>
      <w:r w:rsidRPr="00D30A96">
        <w:rPr>
          <w:rFonts w:ascii="Palatino Linotype" w:eastAsia="Times New Roman" w:hAnsi="Palatino Linotype" w:cs="Times New Roman"/>
          <w:lang w:eastAsia="hu-HU"/>
        </w:rPr>
        <w:lastRenderedPageBreak/>
        <w:t>A Számviteli Politikában az eszközök értékelésével kapcsolatos stratégiai döntéseket rögzítjük. A konkrét szabályokat az Eszközök és források értékelési szabályzata tartalmazza.</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szervnek a mérlegtételek értékelésének általános szabályaira az Szt. 46. §-ában foglaltakat kell alkalmazni. Ennek lényege, hogy</w:t>
      </w:r>
    </w:p>
    <w:p w:rsidR="00D30A96" w:rsidRPr="00D30A96" w:rsidRDefault="00D30A96" w:rsidP="00D30A96">
      <w:pPr>
        <w:numPr>
          <w:ilvl w:val="2"/>
          <w:numId w:val="5"/>
        </w:numPr>
        <w:autoSpaceDE w:val="0"/>
        <w:autoSpaceDN w:val="0"/>
        <w:adjustRightInd w:val="0"/>
        <w:spacing w:after="0" w:line="240" w:lineRule="auto"/>
        <w:ind w:left="1418"/>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értékelésnél a vállalkozás folytatásának elvéből kell kiindulni, ha ennek az elvnek az érvényesülését eltérő rendelkezés nem akadályozza, illetve a vállalkozási tevékenység folytatásának ellentmondó tényező, körülmény nem áll fenn. </w:t>
      </w:r>
    </w:p>
    <w:p w:rsidR="00D30A96" w:rsidRPr="00D30A96" w:rsidRDefault="00D30A96" w:rsidP="00D30A96">
      <w:pPr>
        <w:numPr>
          <w:ilvl w:val="2"/>
          <w:numId w:val="5"/>
        </w:numPr>
        <w:autoSpaceDE w:val="0"/>
        <w:autoSpaceDN w:val="0"/>
        <w:adjustRightInd w:val="0"/>
        <w:spacing w:after="0" w:line="240" w:lineRule="auto"/>
        <w:ind w:left="1418"/>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előző üzleti év mérlegkészítésénél alkalmazott értékelési elvek csak akkor változtathatók meg, ha a változtatást előidéző tényezők tartósan – legalább egy éven túl – jelentkeznek, és emiatt a változás állandónak, tartósnak minősül. Ez esetben a változtatást előidéző tényezőket és számszerűsített hatásukat a kiegészítő mellékletben részletezni kell.</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 az értékelési szabályok megváltoztatásának tényezőit nem tudja a kiegészítő mellékletben bemutatni, mert az Áhsz. szerint a költségvetési szerveknél kiegészítő mellékletnek nincs szöveges része, így ezt a fe</w:t>
      </w:r>
      <w:r w:rsidR="00834DA9">
        <w:rPr>
          <w:rFonts w:ascii="Palatino Linotype" w:eastAsia="Times New Roman" w:hAnsi="Palatino Linotype" w:cs="Times New Roman"/>
          <w:lang w:eastAsia="hu-HU"/>
        </w:rPr>
        <w:t>ladatot egy belső bizonylattal kell</w:t>
      </w:r>
      <w:r w:rsidRPr="00D30A96">
        <w:rPr>
          <w:rFonts w:ascii="Palatino Linotype" w:eastAsia="Times New Roman" w:hAnsi="Palatino Linotype" w:cs="Times New Roman"/>
          <w:lang w:eastAsia="hu-HU"/>
        </w:rPr>
        <w:t xml:space="preserve"> dokumentálni.)</w:t>
      </w:r>
    </w:p>
    <w:p w:rsidR="00D30A96" w:rsidRPr="00D30A96" w:rsidRDefault="00D30A96" w:rsidP="00D30A96">
      <w:pPr>
        <w:numPr>
          <w:ilvl w:val="2"/>
          <w:numId w:val="5"/>
        </w:numPr>
        <w:autoSpaceDE w:val="0"/>
        <w:autoSpaceDN w:val="0"/>
        <w:adjustRightInd w:val="0"/>
        <w:spacing w:after="0" w:line="240" w:lineRule="auto"/>
        <w:ind w:left="1418"/>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eszközöket és a kötelezettségeket leltározással (mennyiségi felvétellel, egyeztetéssel) kell ellenőrizni és az Szt.-ben szabályozott esetek kivételével egyedenként értékelni kell. A különböző időpontokban beszerzett, előállított, általában csoportosan nyilvántartott, azonos paraméterekkel rendelkező eszközöknél az átlagos beszerzési (előállítási) áron, továbbá a FIFO módszerrel történő értékelés is alkalmazható,</w:t>
      </w:r>
    </w:p>
    <w:p w:rsidR="00D30A96" w:rsidRPr="00D30A96" w:rsidRDefault="00D30A96" w:rsidP="00D30A96">
      <w:pPr>
        <w:numPr>
          <w:ilvl w:val="2"/>
          <w:numId w:val="5"/>
        </w:numPr>
        <w:autoSpaceDE w:val="0"/>
        <w:autoSpaceDN w:val="0"/>
        <w:adjustRightInd w:val="0"/>
        <w:spacing w:after="0" w:line="240" w:lineRule="auto"/>
        <w:ind w:left="1418"/>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mérlegben kimutatott eredmény meghatározásakor a mérlegtételek értékelése során figyelembe kell venni – az Szt. 52–56. §-ában foglaltak alapján – minden olyan értékcsökkenést, értékvesztést, amely a mérleg fordulónapján meglévő eszközöket érinti, és amely a mérlegkészítés időpontjáig ismertté vált. Az 53–56. §-ok alkalmazásában tartósnak minősül a könyv szerinti érték és a piaci érték különbözete, ha az múltbeli tények vagy jövőbeni várakozások alapján legalább egy évig fennáll. A különbözet tartósnak minősül – a fennállásának időtartamától függetlenül – akkor is, ha az az értékeléskor a rendelkezésre álló információk alapján véglegesnek tekinthető.</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szervnek figyelembe kell venni, hogy terven felüli értékcsökkenést nem számolhat el év végén piaci értékelés alapján.)</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értékelési körbe tartozó feladatcsoportokon belül azokban az esetekben, ahol a költségvetési szervnek az Szt., illetve az Áhsz. előírásai szerint választási lehetősége van, a döntést a Számviteli Politikában hozza meg.</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értékelés körébe tartozó feladatcsoportok: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1"/>
          <w:numId w:val="7"/>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20" w:name="_Toc381619498"/>
      <w:r w:rsidRPr="00D30A96">
        <w:rPr>
          <w:rFonts w:ascii="Palatino Linotype" w:eastAsia="Times New Roman" w:hAnsi="Palatino Linotype" w:cs="Times New Roman"/>
          <w:b/>
          <w:lang w:eastAsia="hu-HU"/>
        </w:rPr>
        <w:t>Bekerülési érték meghatározása</w:t>
      </w:r>
      <w:bookmarkEnd w:id="20"/>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Cs/>
          <w:lang w:eastAsia="hu-HU"/>
        </w:rPr>
      </w:pPr>
      <w:r w:rsidRPr="00D30A96">
        <w:rPr>
          <w:rFonts w:ascii="Palatino Linotype" w:eastAsia="Times New Roman" w:hAnsi="Palatino Linotype" w:cs="Times New Roman"/>
          <w:lang w:eastAsia="hu-HU"/>
        </w:rPr>
        <w:t xml:space="preserve">A bekerülési értéket az Áhsz. 15., 16. és 16/A. §-aiban foglaltak szerint kell megállapítani. Ezeket a szabályokat egészítik ki az </w:t>
      </w:r>
      <w:r w:rsidRPr="00D30A96">
        <w:rPr>
          <w:rFonts w:ascii="Palatino Linotype" w:eastAsia="Times New Roman" w:hAnsi="Palatino Linotype" w:cs="Times New Roman"/>
          <w:bCs/>
          <w:lang w:eastAsia="hu-HU"/>
        </w:rPr>
        <w:t>Szt. 47. § (9) bekezdésében, Szt. 49. § (5) bekezdésében, 50. § (1), (2), (4) és (6) bekezdésekben, Szt. 48. § (7) bekezdésében, Szt. 51. § (1)–(4) bekezdésekben, Szt. 3. § (4) bekezdésének 8. pontjában, 49. § (3), (4), (6) és (7) bekezdésekben és 62. § (2) bekezdésében foglaltakat.</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Cs/>
          <w:lang w:eastAsia="hu-HU"/>
        </w:rPr>
      </w:pPr>
      <w:r w:rsidRPr="00D30A96">
        <w:rPr>
          <w:rFonts w:ascii="Palatino Linotype" w:eastAsia="Times New Roman" w:hAnsi="Palatino Linotype" w:cs="Times New Roman"/>
          <w:bCs/>
          <w:lang w:eastAsia="hu-HU"/>
        </w:rPr>
        <w:lastRenderedPageBreak/>
        <w:t>A bekerülési érték megállapításánál a költségvetési szervnek – egyetlen kivételtől eltekintve – nincs döntési lehetősége. Ez az egyetlen kivétel az Szt. 47. § (9) bekezdésében szabályozott eset, amikor az eszköz használatba vételekor még nem áll rendelkezésre minden dokumentum, és a bekerülési értéket sajátosan (szerződés, piaci információk, jogszabályi előírás) kell megállapítani.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Cs/>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Cs/>
          <w:lang w:eastAsia="hu-HU"/>
        </w:rPr>
      </w:pPr>
      <w:r w:rsidRPr="00D30A96">
        <w:rPr>
          <w:rFonts w:ascii="Palatino Linotype" w:eastAsia="Times New Roman" w:hAnsi="Palatino Linotype" w:cs="Times New Roman"/>
          <w:bCs/>
          <w:lang w:eastAsia="hu-HU"/>
        </w:rPr>
        <w:t>A „becsült” bekerülési érték meghatározása a pénzügyi ügyintéző feladata. Az egyes eszközök esetében a bekerülési érték konkrét meghatározási szabályait az eszközök és források értékelési szabályzata tartalmazza.</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Cs/>
          <w:lang w:eastAsia="hu-HU"/>
        </w:rPr>
      </w:pPr>
    </w:p>
    <w:p w:rsidR="00D30A96" w:rsidRPr="00D30A96" w:rsidRDefault="00D30A96" w:rsidP="00D30A96">
      <w:pPr>
        <w:numPr>
          <w:ilvl w:val="1"/>
          <w:numId w:val="7"/>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21" w:name="_Toc381619499"/>
      <w:r w:rsidRPr="00D30A96">
        <w:rPr>
          <w:rFonts w:ascii="Palatino Linotype" w:eastAsia="Times New Roman" w:hAnsi="Palatino Linotype" w:cs="Times New Roman"/>
          <w:b/>
          <w:lang w:eastAsia="hu-HU"/>
        </w:rPr>
        <w:t>Terv szerinti értékcsökkenés elszámolásának szabályai</w:t>
      </w:r>
      <w:bookmarkEnd w:id="21"/>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Az immateriális javak és tárgyi eszközök üzembe helyezését követően értékcsökkenést kell elszámolni. Az értékcsökkenés az adott eszköz fizikai és erkölcsi elavultságát jellemző mutató.</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Az értékcsökkenést legalább </w:t>
      </w:r>
      <w:r w:rsidRPr="00D30A96">
        <w:rPr>
          <w:rFonts w:ascii="Palatino Linotype" w:eastAsia="Times New Roman" w:hAnsi="Palatino Linotype" w:cs="Times New Roman"/>
          <w:b/>
          <w:bCs/>
          <w:color w:val="000000"/>
          <w:lang w:eastAsia="hu-HU"/>
        </w:rPr>
        <w:t>negyedévenként</w:t>
      </w:r>
      <w:r w:rsidRPr="00D30A96">
        <w:rPr>
          <w:rFonts w:ascii="Palatino Linotype" w:eastAsia="Times New Roman" w:hAnsi="Palatino Linotype" w:cs="Times New Roman"/>
          <w:color w:val="000000"/>
          <w:lang w:eastAsia="hu-HU"/>
        </w:rPr>
        <w:t xml:space="preserve"> – az éves szintű leírási kulcsok alapján, a tényleges használatnak megfelelően, időarányosan – kell elszámolni.</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Nem lehet terv szerinti értékcsökkenést elszámolni:</w:t>
      </w:r>
    </w:p>
    <w:p w:rsidR="00D30A96" w:rsidRPr="00D30A96" w:rsidRDefault="00D30A96" w:rsidP="00D30A96">
      <w:pPr>
        <w:numPr>
          <w:ilvl w:val="2"/>
          <w:numId w:val="8"/>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földterület, telek (bányaművelésre, veszélyes hulladék tárolására igénybe vett földterület, telek kivételével),</w:t>
      </w:r>
    </w:p>
    <w:p w:rsidR="00D30A96" w:rsidRPr="00D30A96" w:rsidRDefault="00D30A96" w:rsidP="00D30A96">
      <w:pPr>
        <w:numPr>
          <w:ilvl w:val="2"/>
          <w:numId w:val="8"/>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az erdő,</w:t>
      </w:r>
    </w:p>
    <w:p w:rsidR="00D30A96" w:rsidRPr="00D30A96" w:rsidRDefault="00D30A96" w:rsidP="00D30A96">
      <w:pPr>
        <w:numPr>
          <w:ilvl w:val="2"/>
          <w:numId w:val="8"/>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képzőművészeti alkotás,</w:t>
      </w:r>
    </w:p>
    <w:p w:rsidR="00D30A96" w:rsidRPr="00D30A96" w:rsidRDefault="00D30A96" w:rsidP="00D30A96">
      <w:pPr>
        <w:numPr>
          <w:ilvl w:val="2"/>
          <w:numId w:val="8"/>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régészeti lelet bekerülési értéke után,</w:t>
      </w:r>
    </w:p>
    <w:p w:rsidR="00D30A96" w:rsidRPr="00D30A96" w:rsidRDefault="00D30A96" w:rsidP="00D30A96">
      <w:pPr>
        <w:numPr>
          <w:ilvl w:val="2"/>
          <w:numId w:val="8"/>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az üzembe nem helyezett beruházások esetében, </w:t>
      </w:r>
    </w:p>
    <w:p w:rsidR="00D30A96" w:rsidRPr="00D30A96" w:rsidRDefault="00D30A96" w:rsidP="00D30A96">
      <w:pPr>
        <w:numPr>
          <w:ilvl w:val="2"/>
          <w:numId w:val="8"/>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olyan eszköznél, amely az értékéből a használat során nem veszít, vagy amelynek értéke – különleges helyzetéből, egyedi mivoltából adódóan – évről évre nő.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terv szerinti értékcsökkenést a már rendeltetésszerűen használatba vett, üzembe helyezett immateriális javak, tárgyi eszközök után kell elszámolni addig, amíg azokat rendeltetésüknek megfelelően használják.</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Abban az esetben sem számolható el további terv szerinti értékcsökkenés, ha az adott eszköz bruttó értéke és az elszámolt értékcsökkenések összege megegyezik, tehát az eszköz nullára íródott.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költségvetési szervnek a 2014. évtől bevezetett új számviteli szabályok alapján egyes eszközök esetében, 2014. január 1-jétől kezdődően maradványértéket is meg kell állapítani. Ez alól kivételt képeznek a 25 millió forint egyedi bekerülési érték alatti gépek, berendezések, felszerelések, járművek. A maradványérték-megállapítási kötelezettség tehát kiterjed:</w:t>
      </w:r>
    </w:p>
    <w:p w:rsidR="00D30A96" w:rsidRPr="00D30A96" w:rsidRDefault="00D30A96" w:rsidP="00D30A96">
      <w:pPr>
        <w:numPr>
          <w:ilvl w:val="2"/>
          <w:numId w:val="9"/>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immateriális javakra,</w:t>
      </w:r>
    </w:p>
    <w:p w:rsidR="00D30A96" w:rsidRPr="00D30A96" w:rsidRDefault="00D30A96" w:rsidP="00D30A96">
      <w:pPr>
        <w:numPr>
          <w:ilvl w:val="2"/>
          <w:numId w:val="9"/>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ingatlanokra,</w:t>
      </w:r>
    </w:p>
    <w:p w:rsidR="00D30A96" w:rsidRPr="00D30A96" w:rsidRDefault="00D30A96" w:rsidP="00D30A96">
      <w:pPr>
        <w:numPr>
          <w:ilvl w:val="2"/>
          <w:numId w:val="9"/>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25 millió forint egyedi bekerülési érték feletti gépek, berendezések felszerelése járművekre,</w:t>
      </w:r>
    </w:p>
    <w:p w:rsidR="00D30A96" w:rsidRPr="00D30A96" w:rsidRDefault="00D30A96" w:rsidP="00D30A96">
      <w:pPr>
        <w:numPr>
          <w:ilvl w:val="2"/>
          <w:numId w:val="9"/>
        </w:num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tenyészállatokra.</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Az Szt. 52. § (1) bekezdésében foglaltak szerint az immateriális javaknak, tárgyi eszközöknek a hasznos élettartam végén várható maradványértékkel csökkentett bekerülési értékét azokra </w:t>
      </w:r>
      <w:r w:rsidRPr="00D30A96">
        <w:rPr>
          <w:rFonts w:ascii="Palatino Linotype" w:eastAsia="Times New Roman" w:hAnsi="Palatino Linotype" w:cs="Times New Roman"/>
          <w:color w:val="000000"/>
          <w:lang w:eastAsia="hu-HU"/>
        </w:rPr>
        <w:lastRenderedPageBreak/>
        <w:t xml:space="preserve">az évekre kell felosztani, amelyekben ezeket az eszközöket előreláthatóan használni fogják. Ebből a szabályból az is levezethető, hogy ha a költségvetési szerv egy adott eszköz esetében hasznos időtartamnak tekinti azt az időszakot, amíg az eszköz nem íródik nullára.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Az Szt.-nek ezt a szabályát a leírási kulcsok megállapítására azonban nem lehet alkalmazni, mivel az Áhsz. konkrétan meghatározza a költségvetési szerv által alkalmazható terv szerinti értékcsökkenési leírási kulcsokat.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color w:val="000000"/>
          <w:lang w:eastAsia="hu-HU"/>
        </w:rPr>
        <w:t xml:space="preserve">A terv szerinti értékcsökkenések leírási kulcsai az Áhsz. szerint a következők lehetnek: </w:t>
      </w:r>
    </w:p>
    <w:p w:rsidR="00D30A96" w:rsidRPr="00D30A96" w:rsidRDefault="00D30A96" w:rsidP="00D30A96">
      <w:pPr>
        <w:numPr>
          <w:ilvl w:val="2"/>
          <w:numId w:val="10"/>
        </w:numPr>
        <w:autoSpaceDE w:val="0"/>
        <w:autoSpaceDN w:val="0"/>
        <w:adjustRightInd w:val="0"/>
        <w:spacing w:after="0" w:line="240" w:lineRule="auto"/>
        <w:contextualSpacing/>
        <w:jc w:val="both"/>
        <w:textAlignment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vagyoni értékű jogoknál 16%, vagy a tervezett használati idő alapján megállapított lineáris kulcs,</w:t>
      </w:r>
    </w:p>
    <w:p w:rsidR="00D30A96" w:rsidRPr="00D30A96" w:rsidRDefault="00D30A96" w:rsidP="00D30A96">
      <w:pPr>
        <w:numPr>
          <w:ilvl w:val="2"/>
          <w:numId w:val="10"/>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szellemi termékeknél 33%,</w:t>
      </w:r>
    </w:p>
    <w:p w:rsidR="00D30A96" w:rsidRPr="00D30A96" w:rsidRDefault="00D30A96" w:rsidP="00D30A96">
      <w:pPr>
        <w:numPr>
          <w:ilvl w:val="2"/>
          <w:numId w:val="10"/>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ingatlanokhoz kapcsolódó vagyoni értékű jogok terv szerinti értékcsökkenés leírási kulcsa azonos annak az ingatlannak a leírási kulcsával, amelyhez az adott vagyoni értékű jog kapcsolódik, </w:t>
      </w:r>
    </w:p>
    <w:p w:rsidR="00D30A96" w:rsidRPr="00D30A96" w:rsidRDefault="00D30A96" w:rsidP="00D30A96">
      <w:pPr>
        <w:numPr>
          <w:ilvl w:val="2"/>
          <w:numId w:val="10"/>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állam tulajdonában álló közutak esetén az alkalmazandó terv szerinti értékcsökkenés leírási kulcsa 3%,</w:t>
      </w:r>
    </w:p>
    <w:p w:rsidR="00D30A96" w:rsidRPr="00D30A96" w:rsidRDefault="00D30A96" w:rsidP="00D30A96">
      <w:pPr>
        <w:numPr>
          <w:ilvl w:val="2"/>
          <w:numId w:val="10"/>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előzőekben nem említett tárgyi eszközök terv szerinti értékcsökkenését a társasági adóról és az osztalékadóról szóló 1996. évi LXXXI. törvény 2. számú mellékletében meghatározottak szerint kell elszámolni.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Ennél a feladatcsoportnál a költségvetési szervnek kizárólag egyes eszközcsoportok értékcsökkenés-kulcsának a megállapítására terjed ki a választási lehetősége.</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Ezek a következők:</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épület-beruházásoknál a műszaki paraméterek alapján dönteni kell, hogy az adott eszköz hosszú, közép- vagy rövid élettartamú szerkezettel rendelkezik. Ennek meghatározása szintén szakmai (műszaki, mérnöki) segítséget igényel.</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meg kell határozni azoknak az eszközöknek a körét, amelyek az értékükből a használat során nem veszítenek, vagy amelyek értéke – különleges helyzetükből, egyedi mivoltukból adódóan – évről évre nő. A szabályozást itt nem lehet általános elvek szerint meghatározni, hanem az egyes eszközöket egyedileg kell ebből a szempontból elbírálni. A kis értékű immateriális javak és tárgyi eszközök esetében az Áhsz. a terv szerinti értékcsökkenés elszámolására a következő szabályokat tartalmazza:</w:t>
      </w:r>
    </w:p>
    <w:p w:rsidR="00D30A96" w:rsidRPr="00D30A96" w:rsidRDefault="00D30A96" w:rsidP="00D30A96">
      <w:pPr>
        <w:numPr>
          <w:ilvl w:val="2"/>
          <w:numId w:val="11"/>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kis értékű immateriális javak bekerülési értékét a beszerzést követően, de legkésőbb a tárgynegyedév végén egy összegben kell terv szerinti értékcsökkenésként elszámolni, </w:t>
      </w:r>
    </w:p>
    <w:p w:rsidR="00D30A96" w:rsidRPr="00D30A96" w:rsidRDefault="00D30A96" w:rsidP="00D30A96">
      <w:pPr>
        <w:numPr>
          <w:ilvl w:val="2"/>
          <w:numId w:val="11"/>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kis értékű tárgyi eszközök bekerülési értékét az üzembe helyezést, használatba vételt követően, de legkésőbb a tárgynegyedév végén egy összegben kell terv szerinti értékcsökkenésként elszámolni,</w:t>
      </w:r>
    </w:p>
    <w:p w:rsidR="00D30A96" w:rsidRPr="00D30A96" w:rsidRDefault="00D30A96" w:rsidP="00D30A96">
      <w:pPr>
        <w:numPr>
          <w:ilvl w:val="2"/>
          <w:numId w:val="11"/>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sajátosan kell eljárni a kis értékű kulturális javak esetében, mivel ezeknél az eszközöknél az értékállóságot biztosítani szükséges. Ezekben az esetekben a költségvetési szervnek az Szt. azon szabályát kell alkalmazni, hogy ezek olyan eszközök, amelyek értéke a rendeltetésszerű használat során nem csökken, hanem növekszik, így </w:t>
      </w:r>
      <w:r w:rsidRPr="00D30A96">
        <w:rPr>
          <w:rFonts w:ascii="Palatino Linotype" w:eastAsia="Times New Roman" w:hAnsi="Palatino Linotype" w:cs="Times New Roman"/>
          <w:lang w:eastAsia="hu-HU"/>
        </w:rPr>
        <w:lastRenderedPageBreak/>
        <w:t>lehetőség van arra, hogy ezeknél az eszközöknél ne kerüljön elszámolásra a bekerülési értékkel azonos összegű terv szerinti értékcsökkenés. Ezt a minősítést a Számviteli Politikának ebben, a terv szerinti értékcsökkenési fejezetében kell végrehajtani.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1"/>
          <w:numId w:val="7"/>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22" w:name="_Toc381619500"/>
      <w:r w:rsidRPr="00D30A96">
        <w:rPr>
          <w:rFonts w:ascii="Palatino Linotype" w:eastAsia="Times New Roman" w:hAnsi="Palatino Linotype" w:cs="Times New Roman"/>
          <w:b/>
          <w:lang w:eastAsia="hu-HU"/>
        </w:rPr>
        <w:t>Terven felüli értékcsökkenés elszámolási szabályai</w:t>
      </w:r>
      <w:bookmarkEnd w:id="22"/>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költségvetési szervek terven felüli értékcsökkenést kizárólag év közben az Szt. 53. § (1) bekezdés </w:t>
      </w:r>
      <w:r w:rsidRPr="00D30A96">
        <w:rPr>
          <w:rFonts w:ascii="Palatino Linotype" w:eastAsia="Times New Roman" w:hAnsi="Palatino Linotype" w:cs="Times New Roman"/>
          <w:i/>
          <w:lang w:eastAsia="hu-HU"/>
        </w:rPr>
        <w:t>b)</w:t>
      </w:r>
      <w:r w:rsidRPr="00D30A96">
        <w:rPr>
          <w:rFonts w:ascii="Palatino Linotype" w:eastAsia="Times New Roman" w:hAnsi="Palatino Linotype" w:cs="Times New Roman"/>
          <w:lang w:eastAsia="hu-HU"/>
        </w:rPr>
        <w:t xml:space="preserve"> és </w:t>
      </w:r>
      <w:r w:rsidRPr="00D30A96">
        <w:rPr>
          <w:rFonts w:ascii="Palatino Linotype" w:eastAsia="Times New Roman" w:hAnsi="Palatino Linotype" w:cs="Times New Roman"/>
          <w:i/>
          <w:lang w:eastAsia="hu-HU"/>
        </w:rPr>
        <w:t>c)</w:t>
      </w:r>
      <w:r w:rsidRPr="00D30A96">
        <w:rPr>
          <w:rFonts w:ascii="Palatino Linotype" w:eastAsia="Times New Roman" w:hAnsi="Palatino Linotype" w:cs="Times New Roman"/>
          <w:lang w:eastAsia="hu-HU"/>
        </w:rPr>
        <w:t xml:space="preserve"> pontjai alapján lehet elszámolni.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Ezek a következő esetek:</w:t>
      </w:r>
    </w:p>
    <w:p w:rsidR="00D30A96" w:rsidRPr="00D30A96" w:rsidRDefault="00D30A96" w:rsidP="00D30A96">
      <w:pPr>
        <w:numPr>
          <w:ilvl w:val="2"/>
          <w:numId w:val="12"/>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immateriális jószág, a tárgyi eszköz (ideértve a beruházást is) értéke tartósan lecsökken, mert az adott eszköz a költségvetési szerv tevékenységének változása miatt feleslegessé vált, vagy megrongálódás, megsemmisülés, illetve hiány következtében rendeltetésének megfelelően nem használható, illetve használhatatlan,</w:t>
      </w:r>
    </w:p>
    <w:p w:rsidR="00D30A96" w:rsidRPr="00D30A96" w:rsidRDefault="00D30A96" w:rsidP="00D30A96">
      <w:pPr>
        <w:numPr>
          <w:ilvl w:val="2"/>
          <w:numId w:val="12"/>
        </w:num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vagyoni értékű jog a szerződés módosulása miatt csak korlátozottan vagy egyáltalán nem érvényesíthető.</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Ezekben az esetekben az költségvetési szervnek döntési lehetősége nincs.</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terven felüli értékcsökkenés elszámolásának előzőekben felsorolt esetei nem teszik lehetővé, hogy a költségvetési szervek év végi értékelés alapján állapítsanak meg az egyes immateriális javak és tárgyi eszközök esetében terven felüli értékcsökkenéseket, tehát ez azt is jelenti, hogy a költségvetési szervnek nem kell év végén egyedileg értékelni ezeket az eszközöket.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1"/>
          <w:numId w:val="7"/>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23" w:name="_Toc381619501"/>
      <w:r w:rsidRPr="00D30A96">
        <w:rPr>
          <w:rFonts w:ascii="Palatino Linotype" w:eastAsia="Times New Roman" w:hAnsi="Palatino Linotype" w:cs="Times New Roman"/>
          <w:b/>
          <w:lang w:eastAsia="hu-HU"/>
        </w:rPr>
        <w:t>Az értékvesztés elszámolása</w:t>
      </w:r>
      <w:bookmarkEnd w:id="23"/>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szervnél az értékvesztésre az Áhsz. 18. § és 19. §-aiban és az Szt. 54–56. §-aiban foglaltakat kell alkalmazni.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Értékvesztést kell elszámolni</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részesedésekre,</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készletekre,</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követelésekre,</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nem a Kincstár által vezetett fizetési számlákra,</w:t>
      </w:r>
    </w:p>
    <w:p w:rsidR="00D30A96" w:rsidRPr="00D30A96" w:rsidRDefault="00D30A96" w:rsidP="00D30A96">
      <w:pPr>
        <w:numPr>
          <w:ilvl w:val="0"/>
          <w:numId w:val="6"/>
        </w:numPr>
        <w:autoSpaceDE w:val="0"/>
        <w:autoSpaceDN w:val="0"/>
        <w:adjustRightInd w:val="0"/>
        <w:spacing w:after="0" w:line="240" w:lineRule="auto"/>
        <w:ind w:left="1985"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jogszabály alapján engedélyezett forgatási célú értékpapírokra.</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szervnek ezeknél az eszközcsoportoknál ahhoz, hogy az értékvesztés-megállapítási kötelezettségüknek eleget tegyenek, a Számviteli Politikában rögzíteniük kell, hogy az egyes eszközcsoportoknál milyen módszerrel és a költségvetési szerven belül mely szervezeti egységnek lesz a feladata a piaci, forgalmi érték vagy az utánpótlási érték meghatározása. A követelések esetén nem értelmezhető a piaci, forgalmi érték kategória, itt a várható megtérülési összeg megállapítási módját kell szabályozni. Ezeket a megállapításokat minden esetben indoklással együtt dokumentumok alapján kell meghozni.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Ott, ahol kötelező az egyszerűsített értékelés, ott ennek konkrét körét, felelőseit, a korábbi tapasztalati adatokat, az egyes követeléscsoportokra vonatkozó aktualizálási feladatokat, hatásköröket szintén külön kell szabályozni.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Az egyes eszközcsoportok konkrét értékelési módszereit, feladatait az Eszközök és források értékelési szabályzata tartalmazza.</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értékelés során az Áhsz. meghatározza az értékvesztés elszámolásánál a jelentős összeg mértékét is. Ettől a költségvetési szerveknek nem lehet eltérni. A nemzeti vagyonba tartozó befektetett eszközök és forgóeszközök között kimutatott részesedések, értékpapírok, a készletek és a követelések értékvesztésének elszámolása során akkor kell a különbözetet jelentős összegűnek tekinteni, ha az értékvesztés összege meghaladja a bekerülési érték 10%-át, de legalább a 100 ezer, a tulajdonosi joggyakorló szervezeteknél a részesedések, értékpapírok esetén a 10 millió forintot.</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b/>
          <w:color w:val="000000"/>
          <w:lang w:eastAsia="hu-HU"/>
        </w:rPr>
      </w:pPr>
    </w:p>
    <w:p w:rsidR="00D30A96" w:rsidRPr="00D30A96" w:rsidRDefault="00D30A96" w:rsidP="00D30A96">
      <w:pPr>
        <w:numPr>
          <w:ilvl w:val="1"/>
          <w:numId w:val="7"/>
        </w:numPr>
        <w:spacing w:after="0" w:line="240" w:lineRule="auto"/>
        <w:ind w:left="1701" w:hanging="567"/>
        <w:contextualSpacing/>
        <w:jc w:val="both"/>
        <w:outlineLvl w:val="2"/>
        <w:rPr>
          <w:rFonts w:ascii="Palatino Linotype" w:eastAsia="Times New Roman" w:hAnsi="Palatino Linotype" w:cs="Times New Roman"/>
          <w:b/>
          <w:lang w:eastAsia="hu-HU"/>
        </w:rPr>
      </w:pPr>
      <w:bookmarkStart w:id="24" w:name="_Toc381619502"/>
      <w:r w:rsidRPr="00D30A96">
        <w:rPr>
          <w:rFonts w:ascii="Palatino Linotype" w:eastAsia="Times New Roman" w:hAnsi="Palatino Linotype" w:cs="Times New Roman"/>
          <w:b/>
          <w:lang w:eastAsia="hu-HU"/>
        </w:rPr>
        <w:t>Értékhelyesbítés elszámolása</w:t>
      </w:r>
      <w:bookmarkEnd w:id="24"/>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 ha az eszközeik esetében a piaci értékelés szabályait választja, akkor alkalmazni kell az értékhelyesbítésre vonatkozó szabályokat.</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szervnek az értékvesztés elszámolására az Szt. 57. § (3) és az 58. § (1), (5)–(9) bekezdéseiben foglaltakat kell alkalmazni.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1"/>
          <w:numId w:val="7"/>
        </w:numPr>
        <w:spacing w:after="0" w:line="240" w:lineRule="auto"/>
        <w:ind w:left="1701" w:hanging="567"/>
        <w:contextualSpacing/>
        <w:jc w:val="both"/>
        <w:outlineLvl w:val="2"/>
        <w:rPr>
          <w:rFonts w:ascii="Palatino Linotype" w:eastAsia="Times New Roman" w:hAnsi="Palatino Linotype" w:cs="Times New Roman"/>
          <w:b/>
          <w:lang w:eastAsia="hu-HU"/>
        </w:rPr>
      </w:pPr>
      <w:r w:rsidRPr="00D30A96">
        <w:rPr>
          <w:rFonts w:ascii="Palatino Linotype" w:eastAsia="Times New Roman" w:hAnsi="Palatino Linotype" w:cs="Times New Roman"/>
          <w:b/>
          <w:lang w:eastAsia="hu-HU"/>
        </w:rPr>
        <w:t>Értékvesztés és terven felüli értékcsökkenés visszaírása</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Azokban az esetekben, ha az értékvesztés és a terven felüli értékcsökkenés elszámolásának feltételei már nem állnak fenn, akkor az értékvesztést és a terven felüli értékcsökkenést csökkenteni kell, azaz vissza kell írni. Ez a visszaírás az adott eszköz bekerülési értékét nem haladhatja meg. Az Áhsz. szerint az eszközök terven felüli értékcsökkenésének és értékvesztésének visszaírására az Szt. 57. § (2) bekezdését és 58. § (2) és (3) bekezdését kell alkalmazni azzal, hogy egyéb bevételek alatt az egyéb eredményszemléletű bevételeket kell érteni, és jelentősnek akkor kell tekinteni az eltérést, ha a piaci érték 10%-kal, de legalább 100 ezer forinttal meghaladja a könyv szerinti értéket.</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17"/>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25" w:name="_Toc381619503"/>
      <w:r w:rsidRPr="00D30A96">
        <w:rPr>
          <w:rFonts w:ascii="Palatino Linotype" w:eastAsia="Times New Roman" w:hAnsi="Palatino Linotype" w:cs="Times New Roman"/>
          <w:b/>
          <w:lang w:eastAsia="hu-HU"/>
        </w:rPr>
        <w:t>A számviteli elszámolás és értékelés szempontjából lényeges, jelentős, nem lényeges és nem jelentős információk köre</w:t>
      </w:r>
      <w:bookmarkEnd w:id="25"/>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lényegesség elve alapján lényegesnek minősül a beszámoló szempontjából minden olyan információ, amelynek elhagyása vagy téves bemutatása befolyásolja a beszámoló adatait, a felhasználó döntéseit. Új szabályként az Szt. előírta, hogy a lényegesség elvénél egy-egy tétel lényegessé minősítését más hasonló tételekkel összefüggésben kell megítélni.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Áhsz. ebben a kérdéskörben nem ír elő sajátosan alkalmazandó szabályokat, így a költségvetési szervnek ezeket az információkat saját magának kell meghatározni.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 feladataiban bekövetkező változások:</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 mind az alap-, mind a vállalkozási tevékenységét az alapító okiratban foglaltak keretein belül végezheti. Olyan feladatot a költségvetési szerv nem végezhet, amelyet az alapító okirat nem tartalmaz.</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Előfordulhat olyan eset, hogy a költségvetési szerv feladatellátása egyik évről a másikra – a megadott feladatkörön belül – jelentősen megváltozhat.</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6"/>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Szervezeti változások:</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Ezek a változások lehetnek belső változások vagy a költségvetési szerv egészét érintő változások. Ez utóbbival kapcsolatban a költségvetési szervnek külön szabályozási kötelezettsége nincs, mivel ez a változás az irányító (felügyeleti) szervtől indul;</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belső változásoknál a Számviteli Politikában azt kell rögzíteni, hogy a változás gazdálkodást is érintő kihatását mely személynek vagy szervezeti egységnek kell figyelnie, mérnie, valamint az egyes egységekkel kapcsolatos belső eljárási rendet hogyan kell változtatni. (Pl. általános kiadások, költségek felosztásánál.)</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6"/>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szokásos és rendkívüli események minősítése:</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rendkívüli eseményeknek a költségvetési szerv gazdálkodására gyakorolt hatása független a költségvetési szerv szokásos tevékenységétől. A rendkívüli gazdasági események a költségvetési szerv tevékenységével nem állnak közvetlen kapcsolatban;</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Szt. nem definiálja a szokásos és a rendkívüli események meghatározást.</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szervnek a Számviteli Politikájában kell meghatároznia, hogy – a saját tevékenységét és körülményeit figyelembe véve – hogyan kell minősíteni a rendkívüli eseményeket, és a döntés kinek vagy mely szervezetnek a feladata.</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Ilyenek lehetnek pl.</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color w:val="000000"/>
          <w:lang w:eastAsia="hu-HU"/>
        </w:rPr>
      </w:pPr>
      <w:r w:rsidRPr="00D30A96">
        <w:rPr>
          <w:rFonts w:ascii="Palatino Linotype" w:eastAsia="Times New Roman" w:hAnsi="Palatino Linotype" w:cs="Times New Roman"/>
          <w:b/>
          <w:color w:val="000000"/>
          <w:lang w:eastAsia="hu-HU"/>
        </w:rPr>
        <w:t>Bevételeknél</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szokásos mértéket meghaladó – káreseményekkel kapcsolatos – térítések, bírságok, kötbérek, késedelmi kamatok, kártérítések,</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egyszeri többlettámogatások,</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nagy összegű pályázati támogatás,</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váratlan, eseti pénzeszközátvételek.</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color w:val="000000"/>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b/>
          <w:color w:val="000000"/>
          <w:lang w:eastAsia="hu-HU"/>
        </w:rPr>
      </w:pPr>
      <w:r w:rsidRPr="00D30A96">
        <w:rPr>
          <w:rFonts w:ascii="Palatino Linotype" w:eastAsia="Times New Roman" w:hAnsi="Palatino Linotype" w:cs="Times New Roman"/>
          <w:b/>
          <w:color w:val="000000"/>
          <w:lang w:eastAsia="hu-HU"/>
        </w:rPr>
        <w:t>Kiadásoknál</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egyszeri beruházások, felújítások,</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zárolások, </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káresemények helyreállítási kiadásai, </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feladatváltozással, átszervezéssel összefüggő kiadások,</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ellenőrzések által feltárt hiányosságok számszerűsített esetei (pl. adóhiány, visszafizetési kötelezettség),</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fizetendő kártérítések, késedelmi kamatok.</w:t>
      </w:r>
    </w:p>
    <w:p w:rsidR="00D30A96" w:rsidRPr="00D30A96" w:rsidRDefault="00D30A96" w:rsidP="00D30A96">
      <w:pPr>
        <w:autoSpaceDE w:val="0"/>
        <w:autoSpaceDN w:val="0"/>
        <w:adjustRightInd w:val="0"/>
        <w:spacing w:after="0" w:line="240" w:lineRule="auto"/>
        <w:contextualSpacing/>
        <w:jc w:val="both"/>
        <w:textAlignment w:val="center"/>
        <w:rPr>
          <w:rFonts w:ascii="Palatino Linotype" w:eastAsia="Times New Roman" w:hAnsi="Palatino Linotype" w:cs="Times New Roman"/>
          <w:color w:val="000000"/>
          <w:lang w:eastAsia="hu-HU"/>
        </w:rPr>
      </w:pPr>
    </w:p>
    <w:p w:rsidR="00D30A96" w:rsidRPr="00D30A96" w:rsidRDefault="00D30A96" w:rsidP="00D30A96">
      <w:pPr>
        <w:numPr>
          <w:ilvl w:val="0"/>
          <w:numId w:val="6"/>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Értékelési módok változása:</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Rögzíteni kell a Számviteli Politikában, ha az egyes eszközök és kötelezettségek értékelésénél – az Szt. és az Áhsz. előírásainak keretei között – egyik évről a másikra a költségvetési szerv megváltoztatja a választott eljárási módot, akkor kinek a feladata az erről szóló döntés, illetve a változás számviteli szempontok szerint figyelése, mérése.</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Jelentős és nem jelentős összegek esetében a költségvetési szervnek viszonylag kevés mozgástere van, mert az Áhsz. a jelentős összeg alsó határát több esetben kötelezően előírta. </w:t>
      </w:r>
      <w:r w:rsidRPr="00D30A96">
        <w:rPr>
          <w:rFonts w:ascii="Palatino Linotype" w:eastAsia="Times New Roman" w:hAnsi="Palatino Linotype" w:cs="Times New Roman"/>
          <w:lang w:eastAsia="hu-HU"/>
        </w:rPr>
        <w:lastRenderedPageBreak/>
        <w:t xml:space="preserve">Így ahol ilyen kötelező előírások megjelennek pl. értékvesztésnél, jelentős összegű hibánál, becsült értéken való befektetett eszköz üzembe helyezésénél az utólagos bekerülési érték korrekció, ott az Áhsz. által meghatározott alsó határoknak kell a Számviteli Politikába bekerülni. A költségvetési szervnek ezekben az esetekben az Áhsz. által megadott alsó határok alatti eltéréseket nem lehet szabályozni. </w:t>
      </w:r>
    </w:p>
    <w:p w:rsidR="00834DA9" w:rsidRPr="00D30A96" w:rsidRDefault="00834DA9"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834DA9" w:rsidRDefault="00834DA9" w:rsidP="00834DA9">
      <w:pPr>
        <w:jc w:val="both"/>
        <w:rPr>
          <w:rFonts w:ascii="Palatino Linotype" w:hAnsi="Palatino Linotype"/>
          <w:lang w:eastAsia="hu-HU"/>
        </w:rPr>
      </w:pPr>
      <w:bookmarkStart w:id="26" w:name="_Toc381619504"/>
      <w:r>
        <w:rPr>
          <w:rFonts w:ascii="Palatino Linotype" w:hAnsi="Palatino Linotype"/>
          <w:b/>
          <w:lang w:eastAsia="hu-HU"/>
        </w:rPr>
        <w:t>7.</w:t>
      </w:r>
      <w:r w:rsidRPr="00834DA9">
        <w:rPr>
          <w:rFonts w:ascii="Palatino Linotype" w:hAnsi="Palatino Linotype"/>
          <w:b/>
          <w:lang w:eastAsia="hu-HU"/>
        </w:rPr>
        <w:t xml:space="preserve">) </w:t>
      </w:r>
      <w:r w:rsidR="00D30A96" w:rsidRPr="00834DA9">
        <w:rPr>
          <w:rFonts w:ascii="Palatino Linotype" w:hAnsi="Palatino Linotype"/>
          <w:b/>
          <w:lang w:eastAsia="hu-HU"/>
        </w:rPr>
        <w:t>Általános kiadások és költségek megosztási módszereinek szabályozása</w:t>
      </w:r>
      <w:bookmarkEnd w:id="26"/>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szerveknek a Számviteli Politikában rögzíteniük kell az általános költségek tevékenységekre és az általános kiadások kormányzati funkciókra történő felosztásának módját, a felosztáshoz alkalmazott mutatókat, vetítési alapokat.</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Ennél a szabályozásnál abból kell kiindulni, hogy a költségvetési szerveknek minden kiadásukat el kell számolni kormányzati funkciókra (tevékenységekre). Az Áhsz. 2017. január 1-jétől hatályos szabályai szerint megszüntetésre kerültek a szakfeladatok, és a 6–7. számlaosztályt a vezetői információs rendszer támogatására lehet alkalmazni.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általános önköltség-számítási kalkulációk köréből a kiadásoknál a pótlékoló kalkulációt alkalmazzuk. Ezt a kalkulációs módszert alkalmazzuk a különböző pályázati támogatások kiadásainak elkülönítésére, megosztására.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Olyan műszaki paramétert, jellemzőt, vetítési alapot kell keresni, amely szoros kapcsolatban van a kiadások alakulásával, így ezek segítségével a valódiság elvének leginkább megfelelve, az adott költséghely igénybevétel arányában rendeljük hozzá a költséghelyen felmerült  kiadásokat.</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Vetítési alap természetes mértékegységben meghatározott mérőszám, amellyel a közvetett (általános) kiadás alakulása a legjellemzőbb módon összefügg, amely egy adott kiadási tényező alakulását döntően befolyásolja.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Az egyes tevékenységekre jutó felosztott általános kiadást úgy állapítjuk meg, hogy a vetítési alapok részösszegeit be kell szorozni a pótlékkulccsal.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vetítési alap kiválasztása során ezek a mutatószámok éven belül nem változtathatók meg.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általános kiadások felosztási módszereit célszerű ebben a részben bemutatni, mert a költségvetési szerveknél az általános kiadások és az általános költségek (6. számlaosztály) felosztására célszerű azonos mutatószámokat, vetítési alapokat alkalmazni.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Ez szintén fontos stratégiai döntés.</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Azt a számítási folyamatot, amelynek során az általános kiadásokat a tevékenységekre (kormányzati funkciókra) ráterheljük, kiadásfelosztásnak nevezzük. Azt a számítási folyamatot, amelynek során az általános költségeket feladatokra (tevékenységekre) ráterheljük, költségfelosztásnak nevezzük.</w:t>
      </w:r>
    </w:p>
    <w:p w:rsidR="00D30A96" w:rsidRPr="00D30A96" w:rsidRDefault="00834DA9"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Pr>
          <w:rFonts w:ascii="Palatino Linotype" w:eastAsia="Times New Roman" w:hAnsi="Palatino Linotype" w:cs="Times New Roman"/>
          <w:color w:val="000000"/>
          <w:lang w:eastAsia="hu-HU"/>
        </w:rPr>
        <w:t>A</w:t>
      </w:r>
      <w:r w:rsidR="00D30A96" w:rsidRPr="00D30A96">
        <w:rPr>
          <w:rFonts w:ascii="Palatino Linotype" w:eastAsia="Times New Roman" w:hAnsi="Palatino Linotype" w:cs="Times New Roman"/>
          <w:color w:val="000000"/>
          <w:lang w:eastAsia="hu-HU"/>
        </w:rPr>
        <w:t xml:space="preserve"> kiadások, költségek felosztásánál azt az azonosságot mindig figyelni kell, hogy a felosztandó kiadások, költségek főösszege nem csökkenhet, vagy nem növekedhet a felosztási munkamenetben!</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 xml:space="preserve">Az elszámolt általános kiadásokat az adott szervezeti egységek jellegétől függően eltérő módon oszthatjuk fel. A 6. számlaosztály kötelező alábontása is megszűnt 2017. évtől kezdődően, minden költségvetési szerv a sajátosságainak megfelelően, saját hatáskörében alakítja ki a költséghelyeit. </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A javasolt vetítési alapok az egyes költséghelyeken felmerülő kiadások és költségek vonatkozásában a következők lehetnek:</w:t>
      </w:r>
    </w:p>
    <w:p w:rsidR="00D30A96" w:rsidRPr="00D30A96" w:rsidRDefault="00D30A96" w:rsidP="00D30A96">
      <w:pPr>
        <w:numPr>
          <w:ilvl w:val="0"/>
          <w:numId w:val="6"/>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Karbantartó részleg kiadásait, költségeit célszerű munkaórákra gyűjteni és ennek alapján felosztani,</w:t>
      </w:r>
    </w:p>
    <w:p w:rsidR="00D30A96" w:rsidRPr="00D30A96" w:rsidRDefault="00D30A96" w:rsidP="00D30A96">
      <w:pPr>
        <w:numPr>
          <w:ilvl w:val="0"/>
          <w:numId w:val="6"/>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Egyéb kisegítő részlegek kiadásait, költségeit mennyiségben mérhető mutatók alapján oszthatjuk fel:</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mosodánál – mosott ruha kg;</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konyhánál – az étkezést igénybe vevők létszáma vagy főzött adagszám;</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kazánháznál – szolgáltatott hőmennyiség vagy fűtött m3;</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kertészetnél, parkfenntartásnál – gondozott m2.</w:t>
      </w:r>
    </w:p>
    <w:p w:rsidR="00D30A96" w:rsidRPr="00D30A96" w:rsidRDefault="00D30A96" w:rsidP="00D30A96">
      <w:pPr>
        <w:numPr>
          <w:ilvl w:val="0"/>
          <w:numId w:val="6"/>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Szakmai egységek kiadásait, költségeit – amennyiben lehetséges – természetes mutatószámok alapján oszthatjuk fel:</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laboratóriumoknál – vizsgálatok száma;</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könyvtáraknál – igénybe vevők létszáma, szakmai egységek dolgozói létszáma;</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restauráló műhelyeknél – munkaórák száma,</w:t>
      </w:r>
    </w:p>
    <w:p w:rsidR="00D30A96" w:rsidRPr="00D30A96" w:rsidRDefault="00D30A96" w:rsidP="00D30A96">
      <w:pPr>
        <w:numPr>
          <w:ilvl w:val="0"/>
          <w:numId w:val="6"/>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Központi irányítás kiadásainál, költségeinél leggyakrabban alkalmazott számítás, hogy vetítési alapként a tevékenységekre elszámolt összes közvetlen és a felosztásig átvezetett közvetett kiadások, költségek együttes összegét alkalmazzák. Ezt a módszert pótlékkulcs alapján történő felosztásnak nevezzük.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b/>
          <w:bCs/>
          <w:color w:val="000000"/>
          <w:lang w:eastAsia="hu-HU"/>
        </w:rPr>
        <w:t>Vetítési alapnak</w:t>
      </w:r>
      <w:r w:rsidRPr="00D30A96">
        <w:rPr>
          <w:rFonts w:ascii="Palatino Linotype" w:eastAsia="Times New Roman" w:hAnsi="Palatino Linotype" w:cs="Times New Roman"/>
          <w:color w:val="000000"/>
          <w:lang w:eastAsia="hu-HU"/>
        </w:rPr>
        <w:t xml:space="preserve"> nevezzük azt a kiadási, költség jellemzőt, amely minden érintett szakfeladatnál – egy-két kivételtől eltekintve – megtalálható, és az egyes feladatoknál, tevékenységeknél igénybe vett közvetett kiadás, költség teljesítményeit arányuknak megfelelően reprezentálja.</w:t>
      </w:r>
    </w:p>
    <w:p w:rsidR="00D30A96" w:rsidRPr="00D30A96" w:rsidRDefault="00D30A96" w:rsidP="00D30A96">
      <w:pPr>
        <w:autoSpaceDE w:val="0"/>
        <w:autoSpaceDN w:val="0"/>
        <w:adjustRightInd w:val="0"/>
        <w:spacing w:after="0" w:line="240" w:lineRule="auto"/>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Ebben az esetben a felosztás menete a következő:</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3544"/>
        <w:gridCol w:w="2515"/>
      </w:tblGrid>
      <w:tr w:rsidR="00D30A96" w:rsidRPr="00D30A96" w:rsidTr="00D30A96">
        <w:tc>
          <w:tcPr>
            <w:tcW w:w="2093" w:type="dxa"/>
            <w:vMerge w:val="restart"/>
            <w:tcBorders>
              <w:top w:val="nil"/>
              <w:left w:val="nil"/>
              <w:bottom w:val="nil"/>
              <w:right w:val="nil"/>
            </w:tcBorders>
            <w:vAlign w:val="center"/>
            <w:hideMark/>
          </w:tcPr>
          <w:p w:rsidR="00D30A96" w:rsidRPr="00D30A96" w:rsidRDefault="00D30A96" w:rsidP="00D30A96">
            <w:pPr>
              <w:autoSpaceDE w:val="0"/>
              <w:autoSpaceDN w:val="0"/>
              <w:adjustRightInd w:val="0"/>
              <w:spacing w:after="0" w:line="240" w:lineRule="auto"/>
              <w:jc w:val="right"/>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Pótlékkulcs:</w:t>
            </w:r>
          </w:p>
        </w:tc>
        <w:tc>
          <w:tcPr>
            <w:tcW w:w="3544" w:type="dxa"/>
            <w:tcBorders>
              <w:top w:val="nil"/>
              <w:left w:val="nil"/>
              <w:bottom w:val="single" w:sz="4" w:space="0" w:color="auto"/>
              <w:right w:val="nil"/>
            </w:tcBorders>
            <w:vAlign w:val="center"/>
            <w:hideMark/>
          </w:tcPr>
          <w:p w:rsidR="00D30A96" w:rsidRPr="00D30A96" w:rsidRDefault="00D30A96" w:rsidP="00D30A96">
            <w:pPr>
              <w:autoSpaceDE w:val="0"/>
              <w:autoSpaceDN w:val="0"/>
              <w:adjustRightInd w:val="0"/>
              <w:spacing w:after="0" w:line="240" w:lineRule="auto"/>
              <w:jc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Felosztható általános kiadás(költség)</w:t>
            </w:r>
          </w:p>
        </w:tc>
        <w:tc>
          <w:tcPr>
            <w:tcW w:w="2515" w:type="dxa"/>
            <w:vMerge w:val="restart"/>
            <w:tcBorders>
              <w:top w:val="nil"/>
              <w:left w:val="nil"/>
              <w:bottom w:val="nil"/>
              <w:right w:val="nil"/>
            </w:tcBorders>
            <w:vAlign w:val="center"/>
            <w:hideMark/>
          </w:tcPr>
          <w:p w:rsidR="00D30A96" w:rsidRPr="00D30A96" w:rsidRDefault="00D30A96" w:rsidP="00D30A96">
            <w:pPr>
              <w:autoSpaceDE w:val="0"/>
              <w:autoSpaceDN w:val="0"/>
              <w:adjustRightInd w:val="0"/>
              <w:spacing w:after="0" w:line="240" w:lineRule="auto"/>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100 = Pótlékkulcs %</w:t>
            </w:r>
          </w:p>
        </w:tc>
      </w:tr>
      <w:tr w:rsidR="00D30A96" w:rsidRPr="00D30A96" w:rsidTr="00D30A96">
        <w:tc>
          <w:tcPr>
            <w:tcW w:w="0" w:type="auto"/>
            <w:vMerge/>
            <w:tcBorders>
              <w:top w:val="nil"/>
              <w:left w:val="nil"/>
              <w:bottom w:val="nil"/>
              <w:right w:val="nil"/>
            </w:tcBorders>
            <w:vAlign w:val="center"/>
            <w:hideMark/>
          </w:tcPr>
          <w:p w:rsidR="00D30A96" w:rsidRPr="00D30A96" w:rsidRDefault="00D30A96" w:rsidP="00D30A96">
            <w:pPr>
              <w:spacing w:after="0" w:line="240" w:lineRule="auto"/>
              <w:rPr>
                <w:rFonts w:ascii="Palatino Linotype" w:eastAsia="Times New Roman" w:hAnsi="Palatino Linotype" w:cs="Times New Roman"/>
                <w:lang w:eastAsia="hu-HU"/>
              </w:rPr>
            </w:pPr>
          </w:p>
        </w:tc>
        <w:tc>
          <w:tcPr>
            <w:tcW w:w="3544" w:type="dxa"/>
            <w:tcBorders>
              <w:top w:val="single" w:sz="4" w:space="0" w:color="auto"/>
              <w:left w:val="nil"/>
              <w:bottom w:val="nil"/>
              <w:right w:val="nil"/>
            </w:tcBorders>
            <w:vAlign w:val="center"/>
            <w:hideMark/>
          </w:tcPr>
          <w:p w:rsidR="00D30A96" w:rsidRPr="00D30A96" w:rsidRDefault="00D30A96" w:rsidP="00D30A96">
            <w:pPr>
              <w:autoSpaceDE w:val="0"/>
              <w:autoSpaceDN w:val="0"/>
              <w:adjustRightInd w:val="0"/>
              <w:spacing w:after="0" w:line="240" w:lineRule="auto"/>
              <w:jc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Vetítési alap</w:t>
            </w:r>
          </w:p>
        </w:tc>
        <w:tc>
          <w:tcPr>
            <w:tcW w:w="0" w:type="auto"/>
            <w:vMerge/>
            <w:tcBorders>
              <w:top w:val="nil"/>
              <w:left w:val="nil"/>
              <w:bottom w:val="nil"/>
              <w:right w:val="nil"/>
            </w:tcBorders>
            <w:vAlign w:val="center"/>
            <w:hideMark/>
          </w:tcPr>
          <w:p w:rsidR="00D30A96" w:rsidRPr="00D30A96" w:rsidRDefault="00D30A96" w:rsidP="00D30A96">
            <w:pPr>
              <w:spacing w:after="0" w:line="240" w:lineRule="auto"/>
              <w:rPr>
                <w:rFonts w:ascii="Palatino Linotype" w:eastAsia="Times New Roman" w:hAnsi="Palatino Linotype" w:cs="Times New Roman"/>
                <w:lang w:eastAsia="hu-HU"/>
              </w:rPr>
            </w:pPr>
          </w:p>
        </w:tc>
      </w:tr>
    </w:tbl>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egyes tevékenységekre jutó kiadás meghatározása</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tbl>
      <w:tblPr>
        <w:tblW w:w="0" w:type="auto"/>
        <w:tblInd w:w="1134" w:type="dxa"/>
        <w:tblBorders>
          <w:insideH w:val="single" w:sz="4" w:space="0" w:color="auto"/>
          <w:insideV w:val="single" w:sz="4" w:space="0" w:color="auto"/>
        </w:tblBorders>
        <w:tblLook w:val="04A0" w:firstRow="1" w:lastRow="0" w:firstColumn="1" w:lastColumn="0" w:noHBand="0" w:noVBand="1"/>
      </w:tblPr>
      <w:tblGrid>
        <w:gridCol w:w="8154"/>
      </w:tblGrid>
      <w:tr w:rsidR="00D30A96" w:rsidRPr="00D30A96" w:rsidTr="00D30A96">
        <w:tc>
          <w:tcPr>
            <w:tcW w:w="9210" w:type="dxa"/>
            <w:tcBorders>
              <w:top w:val="nil"/>
              <w:left w:val="nil"/>
              <w:bottom w:val="single" w:sz="4" w:space="0" w:color="auto"/>
              <w:right w:val="nil"/>
            </w:tcBorders>
            <w:vAlign w:val="center"/>
            <w:hideMark/>
          </w:tcPr>
          <w:p w:rsidR="00D30A96" w:rsidRPr="00D30A96" w:rsidRDefault="00D30A96" w:rsidP="00D30A96">
            <w:pPr>
              <w:autoSpaceDE w:val="0"/>
              <w:autoSpaceDN w:val="0"/>
              <w:adjustRightInd w:val="0"/>
              <w:spacing w:after="0" w:line="240" w:lineRule="auto"/>
              <w:jc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Egy-egy költségviselő számlán elszámolt kiadás, költség × Pótlékkulcs</w:t>
            </w:r>
          </w:p>
        </w:tc>
      </w:tr>
      <w:tr w:rsidR="00D30A96" w:rsidRPr="00D30A96" w:rsidTr="00D30A96">
        <w:tc>
          <w:tcPr>
            <w:tcW w:w="9210" w:type="dxa"/>
            <w:tcBorders>
              <w:top w:val="single" w:sz="4" w:space="0" w:color="auto"/>
              <w:left w:val="nil"/>
              <w:bottom w:val="nil"/>
              <w:right w:val="nil"/>
            </w:tcBorders>
            <w:vAlign w:val="center"/>
            <w:hideMark/>
          </w:tcPr>
          <w:p w:rsidR="00D30A96" w:rsidRPr="00D30A96" w:rsidRDefault="00D30A96" w:rsidP="00D30A96">
            <w:pPr>
              <w:autoSpaceDE w:val="0"/>
              <w:autoSpaceDN w:val="0"/>
              <w:adjustRightInd w:val="0"/>
              <w:spacing w:after="0" w:line="240" w:lineRule="auto"/>
              <w:jc w:val="center"/>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100</w:t>
            </w:r>
          </w:p>
        </w:tc>
      </w:tr>
    </w:tbl>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contextualSpacing/>
        <w:jc w:val="both"/>
        <w:rPr>
          <w:rFonts w:ascii="Palatino Linotype" w:eastAsia="Times New Roman" w:hAnsi="Palatino Linotype" w:cs="Times New Roman"/>
          <w:lang w:eastAsia="hu-HU"/>
        </w:rPr>
      </w:pPr>
    </w:p>
    <w:p w:rsidR="00D30A96" w:rsidRPr="00D30A96" w:rsidRDefault="00D30A96" w:rsidP="00834DA9">
      <w:pPr>
        <w:numPr>
          <w:ilvl w:val="0"/>
          <w:numId w:val="7"/>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27" w:name="_Toc381619505"/>
      <w:r w:rsidRPr="00D30A96">
        <w:rPr>
          <w:rFonts w:ascii="Palatino Linotype" w:eastAsia="Times New Roman" w:hAnsi="Palatino Linotype" w:cs="Times New Roman"/>
          <w:b/>
          <w:lang w:eastAsia="hu-HU"/>
        </w:rPr>
        <w:t>Az éves költségvetési beszámoló elkészítés szabályai</w:t>
      </w:r>
      <w:bookmarkEnd w:id="27"/>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éves költségvetési beszámoló részei a költségvetési szerveknél:</w:t>
      </w:r>
    </w:p>
    <w:p w:rsidR="00D30A96" w:rsidRPr="00D30A96" w:rsidRDefault="00D30A96" w:rsidP="00D30A96">
      <w:pPr>
        <w:numPr>
          <w:ilvl w:val="0"/>
          <w:numId w:val="14"/>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Költségvetési számvitelből:</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költségvetési jelentés,</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maradványkimutatás,</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adatszolgáltatás a személyi juttatások és a foglalkoztatottak, választott tisztségviselők összetételéről.</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numPr>
          <w:ilvl w:val="0"/>
          <w:numId w:val="14"/>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Pénzügyi számvitelből:</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mérleg,</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eredménykimutatás,</w:t>
      </w:r>
    </w:p>
    <w:p w:rsidR="00D30A96" w:rsidRPr="00D30A96" w:rsidRDefault="00D30A96" w:rsidP="00D30A96">
      <w:pPr>
        <w:numPr>
          <w:ilvl w:val="1"/>
          <w:numId w:val="5"/>
        </w:numPr>
        <w:autoSpaceDE w:val="0"/>
        <w:autoSpaceDN w:val="0"/>
        <w:adjustRightInd w:val="0"/>
        <w:spacing w:after="0" w:line="240" w:lineRule="auto"/>
        <w:ind w:left="1701" w:hanging="283"/>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kiegészítő melléklet</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immateriális javak, tárgyi eszközök, koncesszióba, vagyonkezelésbe adott eszközök állományának alakulása,</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eszközök értékvesztése,</w:t>
      </w:r>
    </w:p>
    <w:p w:rsidR="00D30A96" w:rsidRPr="00D30A96" w:rsidRDefault="00D30A96" w:rsidP="00D30A96">
      <w:pPr>
        <w:numPr>
          <w:ilvl w:val="0"/>
          <w:numId w:val="13"/>
        </w:numPr>
        <w:autoSpaceDE w:val="0"/>
        <w:autoSpaceDN w:val="0"/>
        <w:adjustRightInd w:val="0"/>
        <w:spacing w:after="0" w:line="240" w:lineRule="auto"/>
        <w:ind w:left="1985" w:hanging="284"/>
        <w:contextualSpacing/>
        <w:jc w:val="both"/>
        <w:textAlignment w:val="center"/>
        <w:rPr>
          <w:rFonts w:ascii="Palatino Linotype" w:eastAsia="Times New Roman" w:hAnsi="Palatino Linotype" w:cs="Times New Roman"/>
          <w:color w:val="000000"/>
          <w:lang w:eastAsia="hu-HU"/>
        </w:rPr>
      </w:pPr>
      <w:r w:rsidRPr="00D30A96">
        <w:rPr>
          <w:rFonts w:ascii="Palatino Linotype" w:eastAsia="Times New Roman" w:hAnsi="Palatino Linotype" w:cs="Times New Roman"/>
          <w:color w:val="000000"/>
          <w:lang w:eastAsia="hu-HU"/>
        </w:rPr>
        <w:t>tájékoztató adatok.</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mérlegkészítés időpontja </w:t>
      </w:r>
    </w:p>
    <w:p w:rsidR="00D30A96" w:rsidRPr="00D30A96" w:rsidRDefault="00D30A96" w:rsidP="00D30A96">
      <w:pPr>
        <w:numPr>
          <w:ilvl w:val="0"/>
          <w:numId w:val="14"/>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önkormányzati költségvetési szerveknél a költségvetési évet követő év február 25-e.</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éves költségvetési beszámolót az irányító szerv részére a költségvetési évet követő év február 28-ig kell a Kincstár által működtetett elektronikus adatfeldolgozó rendszerbe feltölteni, a teljes főkönyvi kivonattal együtt. A beszámoló és a főkönyvi kivonat egyezőségét biztosítani kell, mivel ha ez nem áll fenn, az éves költségvetési beszámolóban szereplő adatokat nem támaszthatja alá a főkönyvi könyvelés és az arról készített kivonat. A főkönyvi kivonat és az adatszolgáltatások forintos egyezőségének követelménye miatt a kerekítés számviteli kezelését a költségvetési szerv Számviteli Politikájában szükséges szabályozni. Itt kell kimondani, hogy a költségvetési és pénzügyi könyvvezetésben (számvitelben) a gazdasági események rögzítése forintban történik, csak az analitikában (részletező nyilvántartások) lehet fillérben rögzíteni a tételeket. A költségvetési és pénzügyi számvitelben történő könyvelés során a fillérben megjelelő adatokat az általános szabályok szerint kell kerekíteni, így ezekben a lekönyvelt, összevont adatokban már fillér nem jelenhet meg. Azokban az esetekben, ahol mégis fillérekben jelenik meg a záróegyenleg – például a bankkivonatokban –, ott az államháztartásban felmerülő egyes gyakoribb gazdasági események kötelező elszámolási módjáról szóló 38/2013. (IX. 19.) NGM rendeletben szabályozott kerekítési elszámolások szerint kell eljárni.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mérlegkészítés időpontját a költségvetési szerv nem változtathatja meg, ez az az időpont, amíg a költségvetési évre vonatkozóan a következő évben még könyvelni lehet, és az eddig az időpontig beérkező bizonylatokat, melyek a beszámolási évre vonatkoznak, az éves költségvetési beszámoló elkészítésénél figyelembe kell venni.</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beszámolási kötelezettség teljesítéséért felelős: a költségvetési szerv vezetője, a főkönyvi kivonat készítéséért a főkönyvi könyvelő tartozik felelősséggel.  </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költségvetési beszámoló elkészítésénél az egyes űrlapok összeállításánál és a határidők meghatározásánál a költségvetési szervnek szintén nincs döntési lehetősége.</w:t>
      </w:r>
    </w:p>
    <w:p w:rsidR="00D30A96" w:rsidRPr="00D30A96" w:rsidRDefault="00D30A96" w:rsidP="00D30A96">
      <w:pPr>
        <w:autoSpaceDE w:val="0"/>
        <w:autoSpaceDN w:val="0"/>
        <w:adjustRightInd w:val="0"/>
        <w:spacing w:after="0" w:line="240" w:lineRule="auto"/>
        <w:jc w:val="both"/>
        <w:rPr>
          <w:rFonts w:ascii="Palatino Linotype" w:eastAsia="Times New Roman" w:hAnsi="Palatino Linotype" w:cs="Times New Roman"/>
          <w:lang w:eastAsia="hu-HU"/>
        </w:rPr>
      </w:pPr>
    </w:p>
    <w:p w:rsidR="00D30A96" w:rsidRPr="00D30A96" w:rsidRDefault="00D30A96" w:rsidP="00834DA9">
      <w:pPr>
        <w:numPr>
          <w:ilvl w:val="0"/>
          <w:numId w:val="7"/>
        </w:numPr>
        <w:spacing w:after="0" w:line="240" w:lineRule="auto"/>
        <w:ind w:left="1134" w:hanging="567"/>
        <w:contextualSpacing/>
        <w:jc w:val="both"/>
        <w:outlineLvl w:val="1"/>
        <w:rPr>
          <w:rFonts w:ascii="Palatino Linotype" w:eastAsia="Times New Roman" w:hAnsi="Palatino Linotype" w:cs="Times New Roman"/>
          <w:b/>
          <w:lang w:eastAsia="hu-HU"/>
        </w:rPr>
      </w:pPr>
      <w:bookmarkStart w:id="28" w:name="_Toc381619506"/>
      <w:r w:rsidRPr="00D30A96">
        <w:rPr>
          <w:rFonts w:ascii="Palatino Linotype" w:eastAsia="Times New Roman" w:hAnsi="Palatino Linotype" w:cs="Times New Roman"/>
          <w:b/>
          <w:lang w:eastAsia="hu-HU"/>
        </w:rPr>
        <w:t>A Számviteli Politika keretében kötelezően elkészítendő szabályzatok</w:t>
      </w:r>
      <w:bookmarkEnd w:id="28"/>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 xml:space="preserve">A Számviteli Politika elválaszthatatlan részét képezi, és annak keretében kell elkészíteni a költségvetési szerveknek: </w:t>
      </w:r>
    </w:p>
    <w:p w:rsidR="00D30A96" w:rsidRPr="00D30A96" w:rsidRDefault="00D30A96" w:rsidP="00D30A96">
      <w:pPr>
        <w:numPr>
          <w:ilvl w:val="0"/>
          <w:numId w:val="14"/>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Eszközök és források leltárkészítési és leltározási szabályzatát,</w:t>
      </w:r>
    </w:p>
    <w:p w:rsidR="00D30A96" w:rsidRPr="00D30A96" w:rsidRDefault="00D30A96" w:rsidP="00D30A96">
      <w:pPr>
        <w:numPr>
          <w:ilvl w:val="0"/>
          <w:numId w:val="14"/>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Eszközök és források értékelési szabályzatát,</w:t>
      </w:r>
    </w:p>
    <w:p w:rsidR="00D30A96" w:rsidRPr="00D30A96" w:rsidRDefault="00D30A96" w:rsidP="00D30A96">
      <w:pPr>
        <w:numPr>
          <w:ilvl w:val="0"/>
          <w:numId w:val="14"/>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az Önköltségszámítás rendjére vonatkozó belső szabályzatot,</w:t>
      </w:r>
    </w:p>
    <w:p w:rsidR="00D30A96" w:rsidRPr="00D30A96" w:rsidRDefault="00D30A96" w:rsidP="00D30A96">
      <w:pPr>
        <w:numPr>
          <w:ilvl w:val="0"/>
          <w:numId w:val="14"/>
        </w:numPr>
        <w:autoSpaceDE w:val="0"/>
        <w:autoSpaceDN w:val="0"/>
        <w:adjustRightInd w:val="0"/>
        <w:spacing w:after="0" w:line="240" w:lineRule="auto"/>
        <w:ind w:left="1418" w:hanging="284"/>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Pénzkezelési szabályzatot.</w:t>
      </w:r>
    </w:p>
    <w:p w:rsidR="00D30A96" w:rsidRPr="00D30A96" w:rsidRDefault="00D30A96" w:rsidP="00D30A96">
      <w:pPr>
        <w:spacing w:after="0" w:line="240" w:lineRule="auto"/>
        <w:contextualSpacing/>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lastRenderedPageBreak/>
        <w:t xml:space="preserve">Az Szt. és az Áhsz. nem tartalmaz arra vonatkozóan előírást, hogy a Számviteli Politikához kapcsolódó, fenti négy szabályzatot – formailag – külön-külön vagy a Számviteli Politika mellékleteként kell elkészíteni. Erről a költségvetési szervnek kell döntenie. A döntés: hogy formailag külön-külön készítjük el a szabályzatokat. </w:t>
      </w:r>
    </w:p>
    <w:p w:rsidR="00D30A96" w:rsidRPr="00D30A96" w:rsidRDefault="00D30A96" w:rsidP="00D30A96">
      <w:pPr>
        <w:spacing w:after="0" w:line="240" w:lineRule="auto"/>
        <w:contextualSpacing/>
        <w:jc w:val="both"/>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br w:type="page"/>
      </w:r>
    </w:p>
    <w:p w:rsidR="00D30A96" w:rsidRPr="00D30A96" w:rsidRDefault="00D30A96" w:rsidP="00D30A96">
      <w:pPr>
        <w:numPr>
          <w:ilvl w:val="0"/>
          <w:numId w:val="1"/>
        </w:numPr>
        <w:spacing w:after="0" w:line="240" w:lineRule="auto"/>
        <w:ind w:left="567" w:hanging="567"/>
        <w:contextualSpacing/>
        <w:jc w:val="both"/>
        <w:outlineLvl w:val="0"/>
        <w:rPr>
          <w:rFonts w:ascii="Palatino Linotype" w:eastAsia="Times New Roman" w:hAnsi="Palatino Linotype" w:cs="Times New Roman"/>
          <w:b/>
          <w:lang w:eastAsia="hu-HU"/>
        </w:rPr>
      </w:pPr>
      <w:bookmarkStart w:id="29" w:name="_Toc381619507"/>
      <w:r w:rsidRPr="00D30A96">
        <w:rPr>
          <w:rFonts w:ascii="Palatino Linotype" w:eastAsia="Times New Roman" w:hAnsi="Palatino Linotype" w:cs="Times New Roman"/>
          <w:b/>
          <w:lang w:eastAsia="hu-HU"/>
        </w:rPr>
        <w:lastRenderedPageBreak/>
        <w:t>Záró rendelkezések, hatálybalépés dátuma, jóváhagyás</w:t>
      </w:r>
      <w:bookmarkEnd w:id="29"/>
    </w:p>
    <w:p w:rsidR="00D30A96" w:rsidRPr="00D30A96" w:rsidRDefault="00D30A96" w:rsidP="00D30A96">
      <w:pPr>
        <w:spacing w:after="0" w:line="240" w:lineRule="auto"/>
        <w:jc w:val="both"/>
        <w:outlineLvl w:val="0"/>
        <w:rPr>
          <w:rFonts w:ascii="Palatino Linotype" w:eastAsia="Times New Roman" w:hAnsi="Palatino Linotype" w:cs="Times New Roman"/>
          <w:lang w:eastAsia="hu-HU"/>
        </w:rPr>
      </w:pPr>
      <w:r w:rsidRPr="00D30A96">
        <w:rPr>
          <w:rFonts w:ascii="Palatino Linotype" w:eastAsia="Times New Roman" w:hAnsi="Palatino Linotype" w:cs="Times New Roman"/>
          <w:lang w:eastAsia="hu-HU"/>
        </w:rPr>
        <w:t>A Számviteli Politikában foglaltakat 2019. augusztus 1-jétől kezdődően kell alkalmazni, a korábban ilyen jogcímen kiadott Számviteli Politika hatályát vesztette 2019. augusztus 1-jétől.</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834DA9" w:rsidP="00D30A96">
      <w:pPr>
        <w:spacing w:after="0" w:line="240" w:lineRule="auto"/>
        <w:jc w:val="both"/>
        <w:rPr>
          <w:rFonts w:ascii="Palatino Linotype" w:eastAsia="Times New Roman" w:hAnsi="Palatino Linotype" w:cs="Times New Roman"/>
          <w:lang w:eastAsia="hu-HU"/>
        </w:rPr>
      </w:pPr>
      <w:r>
        <w:rPr>
          <w:rFonts w:ascii="Palatino Linotype" w:eastAsia="Times New Roman" w:hAnsi="Palatino Linotype" w:cs="Times New Roman"/>
          <w:lang w:eastAsia="hu-HU"/>
        </w:rPr>
        <w:t>Hencida</w:t>
      </w:r>
      <w:r w:rsidR="00D30A96" w:rsidRPr="00D30A96">
        <w:rPr>
          <w:rFonts w:ascii="Palatino Linotype" w:eastAsia="Times New Roman" w:hAnsi="Palatino Linotype" w:cs="Times New Roman"/>
          <w:lang w:eastAsia="hu-HU"/>
        </w:rPr>
        <w:t xml:space="preserve">, 2019. július 25. </w:t>
      </w: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D30A96" w:rsidRPr="00D30A96" w:rsidRDefault="00D30A96" w:rsidP="00D30A96">
      <w:pPr>
        <w:spacing w:after="0" w:line="240" w:lineRule="auto"/>
        <w:jc w:val="both"/>
        <w:rPr>
          <w:rFonts w:ascii="Palatino Linotype" w:eastAsia="Times New Roman" w:hAnsi="Palatino Linotype" w:cs="Times New Roman"/>
          <w:lang w:eastAsia="hu-HU"/>
        </w:rPr>
      </w:pPr>
    </w:p>
    <w:tbl>
      <w:tblPr>
        <w:tblStyle w:val="Rcsostblzat"/>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D30A96" w:rsidRPr="00D30A96" w:rsidTr="00D30A96">
        <w:tc>
          <w:tcPr>
            <w:tcW w:w="4606" w:type="dxa"/>
          </w:tcPr>
          <w:p w:rsidR="00D30A96" w:rsidRPr="00D30A96" w:rsidRDefault="00834DA9" w:rsidP="00D30A96">
            <w:pPr>
              <w:jc w:val="center"/>
              <w:rPr>
                <w:rFonts w:ascii="Palatino Linotype" w:hAnsi="Palatino Linotype" w:cs="Times New Roman"/>
                <w:b/>
                <w:lang w:eastAsia="hu-HU"/>
              </w:rPr>
            </w:pPr>
            <w:r>
              <w:rPr>
                <w:rFonts w:ascii="Palatino Linotype" w:hAnsi="Palatino Linotype" w:cs="Times New Roman"/>
                <w:b/>
                <w:lang w:eastAsia="hu-HU"/>
              </w:rPr>
              <w:t>Szémán László</w:t>
            </w:r>
            <w:r w:rsidR="00D30A96" w:rsidRPr="00D30A96">
              <w:rPr>
                <w:rFonts w:ascii="Palatino Linotype" w:hAnsi="Palatino Linotype" w:cs="Times New Roman"/>
                <w:b/>
                <w:lang w:eastAsia="hu-HU"/>
              </w:rPr>
              <w:t xml:space="preserve"> </w:t>
            </w:r>
          </w:p>
        </w:tc>
        <w:tc>
          <w:tcPr>
            <w:tcW w:w="4606" w:type="dxa"/>
          </w:tcPr>
          <w:p w:rsidR="00D30A96" w:rsidRPr="00D30A96" w:rsidRDefault="00D30A96" w:rsidP="00834DA9">
            <w:pPr>
              <w:jc w:val="center"/>
              <w:rPr>
                <w:rFonts w:ascii="Palatino Linotype" w:hAnsi="Palatino Linotype" w:cs="Times New Roman"/>
                <w:b/>
                <w:lang w:eastAsia="hu-HU"/>
              </w:rPr>
            </w:pPr>
            <w:r w:rsidRPr="00D30A96">
              <w:rPr>
                <w:rFonts w:ascii="Palatino Linotype" w:hAnsi="Palatino Linotype" w:cs="Times New Roman"/>
                <w:b/>
                <w:lang w:eastAsia="hu-HU"/>
              </w:rPr>
              <w:t xml:space="preserve">Dr. </w:t>
            </w:r>
            <w:r w:rsidR="00834DA9">
              <w:rPr>
                <w:rFonts w:ascii="Palatino Linotype" w:hAnsi="Palatino Linotype" w:cs="Times New Roman"/>
                <w:b/>
                <w:lang w:eastAsia="hu-HU"/>
              </w:rPr>
              <w:t>Barcsai Sándor</w:t>
            </w:r>
            <w:r w:rsidRPr="00D30A96">
              <w:rPr>
                <w:rFonts w:ascii="Palatino Linotype" w:hAnsi="Palatino Linotype" w:cs="Times New Roman"/>
                <w:b/>
                <w:lang w:eastAsia="hu-HU"/>
              </w:rPr>
              <w:t xml:space="preserve"> </w:t>
            </w:r>
          </w:p>
        </w:tc>
      </w:tr>
      <w:tr w:rsidR="00D30A96" w:rsidRPr="00D30A96" w:rsidTr="00D30A96">
        <w:tc>
          <w:tcPr>
            <w:tcW w:w="4606" w:type="dxa"/>
          </w:tcPr>
          <w:p w:rsidR="00D30A96" w:rsidRPr="00D30A96" w:rsidRDefault="00D30A96" w:rsidP="00D30A96">
            <w:pPr>
              <w:jc w:val="center"/>
              <w:rPr>
                <w:rFonts w:ascii="Palatino Linotype" w:hAnsi="Palatino Linotype" w:cs="Times New Roman"/>
                <w:b/>
                <w:lang w:eastAsia="hu-HU"/>
              </w:rPr>
            </w:pPr>
            <w:r w:rsidRPr="00D30A96">
              <w:rPr>
                <w:rFonts w:ascii="Palatino Linotype" w:hAnsi="Palatino Linotype" w:cs="Times New Roman"/>
                <w:b/>
                <w:lang w:eastAsia="hu-HU"/>
              </w:rPr>
              <w:t xml:space="preserve">polgármester </w:t>
            </w:r>
          </w:p>
        </w:tc>
        <w:tc>
          <w:tcPr>
            <w:tcW w:w="4606" w:type="dxa"/>
          </w:tcPr>
          <w:p w:rsidR="00D30A96" w:rsidRPr="00D30A96" w:rsidRDefault="00834DA9" w:rsidP="00D30A96">
            <w:pPr>
              <w:jc w:val="center"/>
              <w:rPr>
                <w:rFonts w:ascii="Palatino Linotype" w:hAnsi="Palatino Linotype" w:cs="Times New Roman"/>
                <w:b/>
                <w:lang w:eastAsia="hu-HU"/>
              </w:rPr>
            </w:pPr>
            <w:r>
              <w:rPr>
                <w:rFonts w:ascii="Palatino Linotype" w:hAnsi="Palatino Linotype" w:cs="Times New Roman"/>
                <w:b/>
                <w:lang w:eastAsia="hu-HU"/>
              </w:rPr>
              <w:t>al</w:t>
            </w:r>
            <w:r w:rsidR="00D30A96" w:rsidRPr="00D30A96">
              <w:rPr>
                <w:rFonts w:ascii="Palatino Linotype" w:hAnsi="Palatino Linotype" w:cs="Times New Roman"/>
                <w:b/>
                <w:lang w:eastAsia="hu-HU"/>
              </w:rPr>
              <w:t xml:space="preserve">jegyző </w:t>
            </w:r>
          </w:p>
        </w:tc>
      </w:tr>
    </w:tbl>
    <w:p w:rsidR="00D30A96" w:rsidRPr="00D30A96" w:rsidRDefault="00D30A96" w:rsidP="00D30A96">
      <w:pPr>
        <w:spacing w:after="0" w:line="240" w:lineRule="auto"/>
        <w:jc w:val="both"/>
        <w:rPr>
          <w:rFonts w:ascii="Palatino Linotype" w:eastAsia="Times New Roman" w:hAnsi="Palatino Linotype" w:cs="Times New Roman"/>
          <w:lang w:eastAsia="hu-HU"/>
        </w:rPr>
      </w:pPr>
    </w:p>
    <w:p w:rsidR="008225EB" w:rsidRDefault="008225EB"/>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Default="00834DA9"/>
    <w:p w:rsidR="00834DA9" w:rsidRPr="00834DA9" w:rsidRDefault="00834DA9" w:rsidP="00834DA9">
      <w:pPr>
        <w:jc w:val="center"/>
        <w:rPr>
          <w:rFonts w:ascii="Palatino Linotype" w:hAnsi="Palatino Linotype"/>
        </w:rPr>
      </w:pPr>
      <w:r w:rsidRPr="00834DA9">
        <w:rPr>
          <w:rFonts w:ascii="Palatino Linotype" w:hAnsi="Palatino Linotype"/>
        </w:rPr>
        <w:lastRenderedPageBreak/>
        <w:t>MEGISMERÉSI NYILATKOZAT</w:t>
      </w:r>
    </w:p>
    <w:p w:rsidR="00834DA9" w:rsidRPr="00834DA9" w:rsidRDefault="00834DA9" w:rsidP="00834DA9">
      <w:pPr>
        <w:rPr>
          <w:rFonts w:ascii="Palatino Linotype" w:hAnsi="Palatino Linotype"/>
        </w:rPr>
      </w:pPr>
      <w:r w:rsidRPr="00834DA9">
        <w:rPr>
          <w:rFonts w:ascii="Palatino Linotype" w:hAnsi="Palatino Linotype"/>
        </w:rPr>
        <w:t xml:space="preserve">A Számviteli politikában foglaltakat megismertem, munkavégzésem során az abban foglaltak szerint járok el: </w:t>
      </w:r>
    </w:p>
    <w:tbl>
      <w:tblPr>
        <w:tblStyle w:val="Rcsostblzat"/>
        <w:tblW w:w="0" w:type="auto"/>
        <w:tblInd w:w="38" w:type="dxa"/>
        <w:tblLook w:val="04A0" w:firstRow="1" w:lastRow="0" w:firstColumn="1" w:lastColumn="0" w:noHBand="0" w:noVBand="1"/>
      </w:tblPr>
      <w:tblGrid>
        <w:gridCol w:w="2303"/>
        <w:gridCol w:w="2303"/>
        <w:gridCol w:w="2303"/>
        <w:gridCol w:w="2303"/>
      </w:tblGrid>
      <w:tr w:rsidR="00834DA9" w:rsidRPr="00834DA9" w:rsidTr="00834DA9">
        <w:tc>
          <w:tcPr>
            <w:tcW w:w="2303" w:type="dxa"/>
          </w:tcPr>
          <w:p w:rsidR="00834DA9" w:rsidRPr="00834DA9" w:rsidRDefault="00834DA9" w:rsidP="00834DA9">
            <w:pPr>
              <w:rPr>
                <w:rFonts w:ascii="Palatino Linotype" w:hAnsi="Palatino Linotype"/>
                <w:sz w:val="22"/>
                <w:szCs w:val="22"/>
              </w:rPr>
            </w:pPr>
            <w:r w:rsidRPr="00834DA9">
              <w:rPr>
                <w:rFonts w:ascii="Palatino Linotype" w:hAnsi="Palatino Linotype"/>
                <w:sz w:val="22"/>
                <w:szCs w:val="22"/>
              </w:rPr>
              <w:t xml:space="preserve">név </w:t>
            </w:r>
          </w:p>
        </w:tc>
        <w:tc>
          <w:tcPr>
            <w:tcW w:w="2303" w:type="dxa"/>
          </w:tcPr>
          <w:p w:rsidR="00834DA9" w:rsidRPr="00834DA9" w:rsidRDefault="00834DA9" w:rsidP="00834DA9">
            <w:pPr>
              <w:rPr>
                <w:rFonts w:ascii="Palatino Linotype" w:hAnsi="Palatino Linotype"/>
                <w:sz w:val="22"/>
                <w:szCs w:val="22"/>
              </w:rPr>
            </w:pPr>
            <w:r w:rsidRPr="00834DA9">
              <w:rPr>
                <w:rFonts w:ascii="Palatino Linotype" w:hAnsi="Palatino Linotype"/>
                <w:sz w:val="22"/>
                <w:szCs w:val="22"/>
              </w:rPr>
              <w:t xml:space="preserve">munkakör </w:t>
            </w:r>
          </w:p>
        </w:tc>
        <w:tc>
          <w:tcPr>
            <w:tcW w:w="2303" w:type="dxa"/>
          </w:tcPr>
          <w:p w:rsidR="00834DA9" w:rsidRPr="00834DA9" w:rsidRDefault="00834DA9" w:rsidP="00834DA9">
            <w:pPr>
              <w:rPr>
                <w:rFonts w:ascii="Palatino Linotype" w:hAnsi="Palatino Linotype"/>
                <w:sz w:val="22"/>
                <w:szCs w:val="22"/>
              </w:rPr>
            </w:pPr>
            <w:r w:rsidRPr="00834DA9">
              <w:rPr>
                <w:rFonts w:ascii="Palatino Linotype" w:hAnsi="Palatino Linotype"/>
                <w:sz w:val="22"/>
                <w:szCs w:val="22"/>
              </w:rPr>
              <w:t xml:space="preserve">dátum </w:t>
            </w:r>
          </w:p>
        </w:tc>
        <w:tc>
          <w:tcPr>
            <w:tcW w:w="2303" w:type="dxa"/>
          </w:tcPr>
          <w:p w:rsidR="00834DA9" w:rsidRPr="00834DA9" w:rsidRDefault="00834DA9" w:rsidP="00834DA9">
            <w:pPr>
              <w:rPr>
                <w:rFonts w:ascii="Palatino Linotype" w:hAnsi="Palatino Linotype"/>
                <w:sz w:val="22"/>
                <w:szCs w:val="22"/>
              </w:rPr>
            </w:pPr>
            <w:r w:rsidRPr="00834DA9">
              <w:rPr>
                <w:rFonts w:ascii="Palatino Linotype" w:hAnsi="Palatino Linotype"/>
                <w:sz w:val="22"/>
                <w:szCs w:val="22"/>
              </w:rPr>
              <w:t>aláírás</w:t>
            </w:r>
          </w:p>
        </w:tc>
      </w:tr>
      <w:tr w:rsidR="00834DA9" w:rsidRPr="00834DA9" w:rsidTr="00834DA9">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Szémán László</w:t>
            </w:r>
          </w:p>
        </w:tc>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polgármester</w:t>
            </w: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r w:rsidR="00834DA9" w:rsidRPr="00834DA9" w:rsidTr="00834DA9">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Dr. Vámosi Margit Tünde</w:t>
            </w:r>
          </w:p>
        </w:tc>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jegyző</w:t>
            </w: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r w:rsidR="00834DA9" w:rsidRPr="00834DA9" w:rsidTr="00834DA9">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Dr Barcsai Sándor</w:t>
            </w:r>
          </w:p>
        </w:tc>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jegyző</w:t>
            </w: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r w:rsidR="00834DA9" w:rsidRPr="00834DA9" w:rsidTr="00834DA9">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Lakatosné Nagy Alexandra</w:t>
            </w:r>
          </w:p>
        </w:tc>
        <w:tc>
          <w:tcPr>
            <w:tcW w:w="2303" w:type="dxa"/>
          </w:tcPr>
          <w:p w:rsidR="00834DA9" w:rsidRPr="00834DA9" w:rsidRDefault="00AE24DE" w:rsidP="00AE24DE">
            <w:pPr>
              <w:rPr>
                <w:rFonts w:ascii="Palatino Linotype" w:hAnsi="Palatino Linotype"/>
                <w:sz w:val="22"/>
                <w:szCs w:val="22"/>
              </w:rPr>
            </w:pPr>
            <w:r>
              <w:rPr>
                <w:rFonts w:ascii="Palatino Linotype" w:hAnsi="Palatino Linotype"/>
                <w:sz w:val="22"/>
                <w:szCs w:val="22"/>
              </w:rPr>
              <w:t>intézményvezető</w:t>
            </w: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r w:rsidR="00834DA9" w:rsidRPr="00834DA9" w:rsidTr="00834DA9">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Nagy Zsolt</w:t>
            </w:r>
          </w:p>
        </w:tc>
        <w:tc>
          <w:tcPr>
            <w:tcW w:w="2303" w:type="dxa"/>
          </w:tcPr>
          <w:p w:rsidR="00834DA9" w:rsidRPr="00834DA9" w:rsidRDefault="00AE24DE" w:rsidP="00834DA9">
            <w:pPr>
              <w:rPr>
                <w:rFonts w:ascii="Palatino Linotype" w:hAnsi="Palatino Linotype"/>
                <w:sz w:val="22"/>
                <w:szCs w:val="22"/>
              </w:rPr>
            </w:pPr>
            <w:r>
              <w:rPr>
                <w:rFonts w:ascii="Palatino Linotype" w:hAnsi="Palatino Linotype"/>
                <w:sz w:val="22"/>
                <w:szCs w:val="22"/>
              </w:rPr>
              <w:t>pénzügyi ügyintéző</w:t>
            </w: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r w:rsidR="00834DA9" w:rsidRPr="00834DA9" w:rsidTr="00834DA9">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r w:rsidR="00834DA9" w:rsidRPr="00834DA9" w:rsidTr="00834DA9">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r w:rsidR="00834DA9" w:rsidRPr="00834DA9" w:rsidTr="00834DA9">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r w:rsidR="00834DA9" w:rsidRPr="00834DA9" w:rsidTr="00834DA9">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c>
          <w:tcPr>
            <w:tcW w:w="2303" w:type="dxa"/>
          </w:tcPr>
          <w:p w:rsidR="00834DA9" w:rsidRPr="00834DA9" w:rsidRDefault="00834DA9" w:rsidP="00834DA9">
            <w:pPr>
              <w:rPr>
                <w:rFonts w:ascii="Palatino Linotype" w:hAnsi="Palatino Linotype"/>
                <w:sz w:val="22"/>
                <w:szCs w:val="22"/>
              </w:rPr>
            </w:pPr>
          </w:p>
        </w:tc>
      </w:tr>
    </w:tbl>
    <w:p w:rsidR="00834DA9" w:rsidRPr="00834DA9" w:rsidRDefault="00834DA9" w:rsidP="00834DA9">
      <w:pPr>
        <w:rPr>
          <w:rFonts w:ascii="Palatino Linotype" w:hAnsi="Palatino Linotype"/>
        </w:rPr>
      </w:pPr>
    </w:p>
    <w:sectPr w:rsidR="00834DA9" w:rsidRPr="00834DA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2B7" w:rsidRDefault="009502B7" w:rsidP="00834DA9">
      <w:pPr>
        <w:spacing w:after="0" w:line="240" w:lineRule="auto"/>
      </w:pPr>
      <w:r>
        <w:separator/>
      </w:r>
    </w:p>
  </w:endnote>
  <w:endnote w:type="continuationSeparator" w:id="0">
    <w:p w:rsidR="009502B7" w:rsidRDefault="009502B7" w:rsidP="00834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397494"/>
      <w:docPartObj>
        <w:docPartGallery w:val="Page Numbers (Bottom of Page)"/>
        <w:docPartUnique/>
      </w:docPartObj>
    </w:sdtPr>
    <w:sdtEndPr/>
    <w:sdtContent>
      <w:p w:rsidR="00DF3B3E" w:rsidRDefault="00DF3B3E">
        <w:pPr>
          <w:pStyle w:val="llb"/>
          <w:jc w:val="right"/>
        </w:pPr>
        <w:r>
          <w:fldChar w:fldCharType="begin"/>
        </w:r>
        <w:r>
          <w:instrText>PAGE   \* MERGEFORMAT</w:instrText>
        </w:r>
        <w:r>
          <w:fldChar w:fldCharType="separate"/>
        </w:r>
        <w:r w:rsidR="00121287">
          <w:rPr>
            <w:noProof/>
          </w:rPr>
          <w:t>7</w:t>
        </w:r>
        <w:r>
          <w:fldChar w:fldCharType="end"/>
        </w:r>
      </w:p>
    </w:sdtContent>
  </w:sdt>
  <w:p w:rsidR="00DF3B3E" w:rsidRDefault="00DF3B3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2B7" w:rsidRDefault="009502B7" w:rsidP="00834DA9">
      <w:pPr>
        <w:spacing w:after="0" w:line="240" w:lineRule="auto"/>
      </w:pPr>
      <w:r>
        <w:separator/>
      </w:r>
    </w:p>
  </w:footnote>
  <w:footnote w:type="continuationSeparator" w:id="0">
    <w:p w:rsidR="009502B7" w:rsidRDefault="009502B7" w:rsidP="00834D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E0B09"/>
    <w:multiLevelType w:val="multilevel"/>
    <w:tmpl w:val="AC7CAECC"/>
    <w:lvl w:ilvl="0">
      <w:start w:val="1"/>
      <w:numFmt w:val="decimal"/>
      <w:lvlText w:val="%1."/>
      <w:lvlJc w:val="left"/>
      <w:pPr>
        <w:ind w:left="720" w:hanging="360"/>
      </w:pPr>
      <w:rPr>
        <w:rFonts w:cs="Times New Roman"/>
      </w:rPr>
    </w:lvl>
    <w:lvl w:ilvl="1">
      <w:start w:val="1"/>
      <w:numFmt w:val="decimal"/>
      <w:isLgl/>
      <w:lvlText w:val="%1.%2."/>
      <w:lvlJc w:val="left"/>
      <w:pPr>
        <w:ind w:left="1080" w:hanging="360"/>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1">
    <w:nsid w:val="13C522DD"/>
    <w:multiLevelType w:val="hybridMultilevel"/>
    <w:tmpl w:val="3BFC9412"/>
    <w:lvl w:ilvl="0" w:tplc="4942BC3C">
      <w:start w:val="1"/>
      <w:numFmt w:val="bullet"/>
      <w:lvlText w:val=""/>
      <w:lvlJc w:val="left"/>
      <w:pPr>
        <w:ind w:left="720" w:hanging="360"/>
      </w:pPr>
      <w:rPr>
        <w:rFonts w:ascii="Symbol" w:hAnsi="Symbol" w:hint="default"/>
      </w:rPr>
    </w:lvl>
    <w:lvl w:ilvl="1" w:tplc="D88034F8">
      <w:start w:val="1"/>
      <w:numFmt w:val="bullet"/>
      <w:lvlText w:val=""/>
      <w:lvlJc w:val="left"/>
      <w:pPr>
        <w:ind w:left="1440" w:hanging="360"/>
      </w:pPr>
      <w:rPr>
        <w:rFonts w:ascii="Symbol" w:hAnsi="Symbol" w:hint="default"/>
      </w:rPr>
    </w:lvl>
    <w:lvl w:ilvl="2" w:tplc="92E00F3A">
      <w:numFmt w:val="bullet"/>
      <w:lvlText w:val="–"/>
      <w:lvlJc w:val="left"/>
      <w:pPr>
        <w:ind w:left="2160" w:hanging="360"/>
      </w:pPr>
      <w:rPr>
        <w:rFonts w:ascii="Times New Roman" w:eastAsia="Times New Roman" w:hAnsi="Times New Roman" w:cs="Times New Roman"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2">
    <w:nsid w:val="1C203A87"/>
    <w:multiLevelType w:val="hybridMultilevel"/>
    <w:tmpl w:val="58565D9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202978EC"/>
    <w:multiLevelType w:val="multilevel"/>
    <w:tmpl w:val="D5F6C6CA"/>
    <w:lvl w:ilvl="0">
      <w:start w:val="1"/>
      <w:numFmt w:val="decimal"/>
      <w:lvlText w:val="%1)"/>
      <w:lvlJc w:val="left"/>
      <w:pPr>
        <w:ind w:left="720" w:hanging="360"/>
      </w:pPr>
    </w:lvl>
    <w:lvl w:ilvl="1">
      <w:start w:val="1"/>
      <w:numFmt w:val="decimal"/>
      <w:isLgl/>
      <w:lvlText w:val="%1.%2"/>
      <w:lvlJc w:val="left"/>
      <w:pPr>
        <w:ind w:left="2124" w:hanging="990"/>
      </w:pPr>
      <w:rPr>
        <w:rFonts w:cs="Times New Roman"/>
      </w:rPr>
    </w:lvl>
    <w:lvl w:ilvl="2">
      <w:start w:val="1"/>
      <w:numFmt w:val="decimal"/>
      <w:isLgl/>
      <w:lvlText w:val="%1.%2.%3"/>
      <w:lvlJc w:val="left"/>
      <w:pPr>
        <w:ind w:left="2898" w:hanging="990"/>
      </w:pPr>
      <w:rPr>
        <w:rFonts w:cs="Times New Roman"/>
      </w:rPr>
    </w:lvl>
    <w:lvl w:ilvl="3">
      <w:start w:val="1"/>
      <w:numFmt w:val="decimal"/>
      <w:isLgl/>
      <w:lvlText w:val="%1.%2.%3.%4"/>
      <w:lvlJc w:val="left"/>
      <w:pPr>
        <w:ind w:left="3672" w:hanging="990"/>
      </w:pPr>
      <w:rPr>
        <w:rFonts w:cs="Times New Roman"/>
      </w:rPr>
    </w:lvl>
    <w:lvl w:ilvl="4">
      <w:start w:val="1"/>
      <w:numFmt w:val="decimal"/>
      <w:isLgl/>
      <w:lvlText w:val="%1.%2.%3.%4.%5"/>
      <w:lvlJc w:val="left"/>
      <w:pPr>
        <w:ind w:left="4536" w:hanging="1080"/>
      </w:pPr>
      <w:rPr>
        <w:rFonts w:cs="Times New Roman"/>
      </w:rPr>
    </w:lvl>
    <w:lvl w:ilvl="5">
      <w:start w:val="1"/>
      <w:numFmt w:val="decimal"/>
      <w:isLgl/>
      <w:lvlText w:val="%1.%2.%3.%4.%5.%6"/>
      <w:lvlJc w:val="left"/>
      <w:pPr>
        <w:ind w:left="5310" w:hanging="1080"/>
      </w:pPr>
      <w:rPr>
        <w:rFonts w:cs="Times New Roman"/>
      </w:rPr>
    </w:lvl>
    <w:lvl w:ilvl="6">
      <w:start w:val="1"/>
      <w:numFmt w:val="decimal"/>
      <w:isLgl/>
      <w:lvlText w:val="%1.%2.%3.%4.%5.%6.%7"/>
      <w:lvlJc w:val="left"/>
      <w:pPr>
        <w:ind w:left="6444" w:hanging="1440"/>
      </w:pPr>
      <w:rPr>
        <w:rFonts w:cs="Times New Roman"/>
      </w:rPr>
    </w:lvl>
    <w:lvl w:ilvl="7">
      <w:start w:val="1"/>
      <w:numFmt w:val="decimal"/>
      <w:isLgl/>
      <w:lvlText w:val="%1.%2.%3.%4.%5.%6.%7.%8"/>
      <w:lvlJc w:val="left"/>
      <w:pPr>
        <w:ind w:left="7218" w:hanging="1440"/>
      </w:pPr>
      <w:rPr>
        <w:rFonts w:cs="Times New Roman"/>
      </w:rPr>
    </w:lvl>
    <w:lvl w:ilvl="8">
      <w:start w:val="1"/>
      <w:numFmt w:val="decimal"/>
      <w:isLgl/>
      <w:lvlText w:val="%1.%2.%3.%4.%5.%6.%7.%8.%9"/>
      <w:lvlJc w:val="left"/>
      <w:pPr>
        <w:ind w:left="8352" w:hanging="1800"/>
      </w:pPr>
      <w:rPr>
        <w:rFonts w:cs="Times New Roman"/>
      </w:rPr>
    </w:lvl>
  </w:abstractNum>
  <w:abstractNum w:abstractNumId="4">
    <w:nsid w:val="2BC02DD7"/>
    <w:multiLevelType w:val="hybridMultilevel"/>
    <w:tmpl w:val="9C143840"/>
    <w:lvl w:ilvl="0" w:tplc="4942BC3C">
      <w:start w:val="1"/>
      <w:numFmt w:val="bullet"/>
      <w:lvlText w:val=""/>
      <w:lvlJc w:val="left"/>
      <w:pPr>
        <w:ind w:left="720" w:hanging="360"/>
      </w:pPr>
      <w:rPr>
        <w:rFonts w:ascii="Symbol" w:hAnsi="Symbol" w:hint="default"/>
      </w:rPr>
    </w:lvl>
    <w:lvl w:ilvl="1" w:tplc="D88034F8">
      <w:start w:val="1"/>
      <w:numFmt w:val="bullet"/>
      <w:lvlText w:val=""/>
      <w:lvlJc w:val="left"/>
      <w:pPr>
        <w:ind w:left="1440" w:hanging="360"/>
      </w:pPr>
      <w:rPr>
        <w:rFonts w:ascii="Symbol" w:hAnsi="Symbol" w:hint="default"/>
      </w:rPr>
    </w:lvl>
    <w:lvl w:ilvl="2" w:tplc="92E00F3A">
      <w:numFmt w:val="bullet"/>
      <w:lvlText w:val="–"/>
      <w:lvlJc w:val="left"/>
      <w:pPr>
        <w:ind w:left="2160" w:hanging="360"/>
      </w:pPr>
      <w:rPr>
        <w:rFonts w:ascii="Times New Roman" w:eastAsia="Times New Roman" w:hAnsi="Times New Roman" w:cs="Times New Roman"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5">
    <w:nsid w:val="2CD36647"/>
    <w:multiLevelType w:val="hybridMultilevel"/>
    <w:tmpl w:val="ED1629C8"/>
    <w:lvl w:ilvl="0" w:tplc="040E0001">
      <w:start w:val="1"/>
      <w:numFmt w:val="bullet"/>
      <w:lvlText w:val=""/>
      <w:lvlJc w:val="left"/>
      <w:pPr>
        <w:ind w:left="1854" w:hanging="360"/>
      </w:pPr>
      <w:rPr>
        <w:rFonts w:ascii="Symbol" w:hAnsi="Symbol" w:hint="default"/>
      </w:rPr>
    </w:lvl>
    <w:lvl w:ilvl="1" w:tplc="040E0003">
      <w:start w:val="1"/>
      <w:numFmt w:val="bullet"/>
      <w:lvlText w:val="o"/>
      <w:lvlJc w:val="left"/>
      <w:pPr>
        <w:ind w:left="2574" w:hanging="360"/>
      </w:pPr>
      <w:rPr>
        <w:rFonts w:ascii="Courier New" w:hAnsi="Courier New" w:cs="Times New Roman" w:hint="default"/>
      </w:rPr>
    </w:lvl>
    <w:lvl w:ilvl="2" w:tplc="040E0005">
      <w:start w:val="1"/>
      <w:numFmt w:val="bullet"/>
      <w:lvlText w:val=""/>
      <w:lvlJc w:val="left"/>
      <w:pPr>
        <w:ind w:left="3294" w:hanging="360"/>
      </w:pPr>
      <w:rPr>
        <w:rFonts w:ascii="Wingdings" w:hAnsi="Wingdings" w:hint="default"/>
      </w:rPr>
    </w:lvl>
    <w:lvl w:ilvl="3" w:tplc="040E0001">
      <w:start w:val="1"/>
      <w:numFmt w:val="bullet"/>
      <w:lvlText w:val=""/>
      <w:lvlJc w:val="left"/>
      <w:pPr>
        <w:ind w:left="4014" w:hanging="360"/>
      </w:pPr>
      <w:rPr>
        <w:rFonts w:ascii="Symbol" w:hAnsi="Symbol" w:hint="default"/>
      </w:rPr>
    </w:lvl>
    <w:lvl w:ilvl="4" w:tplc="040E0003">
      <w:start w:val="1"/>
      <w:numFmt w:val="bullet"/>
      <w:lvlText w:val="o"/>
      <w:lvlJc w:val="left"/>
      <w:pPr>
        <w:ind w:left="4734" w:hanging="360"/>
      </w:pPr>
      <w:rPr>
        <w:rFonts w:ascii="Courier New" w:hAnsi="Courier New" w:cs="Times New Roman" w:hint="default"/>
      </w:rPr>
    </w:lvl>
    <w:lvl w:ilvl="5" w:tplc="040E0005">
      <w:start w:val="1"/>
      <w:numFmt w:val="bullet"/>
      <w:lvlText w:val=""/>
      <w:lvlJc w:val="left"/>
      <w:pPr>
        <w:ind w:left="5454" w:hanging="360"/>
      </w:pPr>
      <w:rPr>
        <w:rFonts w:ascii="Wingdings" w:hAnsi="Wingdings" w:hint="default"/>
      </w:rPr>
    </w:lvl>
    <w:lvl w:ilvl="6" w:tplc="040E0001">
      <w:start w:val="1"/>
      <w:numFmt w:val="bullet"/>
      <w:lvlText w:val=""/>
      <w:lvlJc w:val="left"/>
      <w:pPr>
        <w:ind w:left="6174" w:hanging="360"/>
      </w:pPr>
      <w:rPr>
        <w:rFonts w:ascii="Symbol" w:hAnsi="Symbol" w:hint="default"/>
      </w:rPr>
    </w:lvl>
    <w:lvl w:ilvl="7" w:tplc="040E0003">
      <w:start w:val="1"/>
      <w:numFmt w:val="bullet"/>
      <w:lvlText w:val="o"/>
      <w:lvlJc w:val="left"/>
      <w:pPr>
        <w:ind w:left="6894" w:hanging="360"/>
      </w:pPr>
      <w:rPr>
        <w:rFonts w:ascii="Courier New" w:hAnsi="Courier New" w:cs="Times New Roman" w:hint="default"/>
      </w:rPr>
    </w:lvl>
    <w:lvl w:ilvl="8" w:tplc="040E0005">
      <w:start w:val="1"/>
      <w:numFmt w:val="bullet"/>
      <w:lvlText w:val=""/>
      <w:lvlJc w:val="left"/>
      <w:pPr>
        <w:ind w:left="7614" w:hanging="360"/>
      </w:pPr>
      <w:rPr>
        <w:rFonts w:ascii="Wingdings" w:hAnsi="Wingdings" w:hint="default"/>
      </w:rPr>
    </w:lvl>
  </w:abstractNum>
  <w:abstractNum w:abstractNumId="6">
    <w:nsid w:val="2EE40D8F"/>
    <w:multiLevelType w:val="multilevel"/>
    <w:tmpl w:val="86223748"/>
    <w:lvl w:ilvl="0">
      <w:start w:val="1"/>
      <w:numFmt w:val="upperRoman"/>
      <w:lvlText w:val="%1."/>
      <w:lvlJc w:val="left"/>
      <w:pPr>
        <w:ind w:left="1080" w:hanging="720"/>
      </w:pPr>
      <w:rPr>
        <w:rFonts w:cs="Times New Roman"/>
      </w:rPr>
    </w:lvl>
    <w:lvl w:ilvl="1">
      <w:start w:val="1"/>
      <w:numFmt w:val="decimal"/>
      <w:isLgl/>
      <w:lvlText w:val="%1.%2."/>
      <w:lvlJc w:val="left"/>
      <w:pPr>
        <w:ind w:left="1494" w:hanging="360"/>
      </w:pPr>
      <w:rPr>
        <w:rFonts w:cs="Times New Roman"/>
      </w:rPr>
    </w:lvl>
    <w:lvl w:ilvl="2">
      <w:start w:val="1"/>
      <w:numFmt w:val="decimal"/>
      <w:isLgl/>
      <w:lvlText w:val="%1.%2.%3."/>
      <w:lvlJc w:val="left"/>
      <w:pPr>
        <w:ind w:left="2628" w:hanging="720"/>
      </w:pPr>
      <w:rPr>
        <w:rFonts w:cs="Times New Roman"/>
      </w:rPr>
    </w:lvl>
    <w:lvl w:ilvl="3">
      <w:start w:val="1"/>
      <w:numFmt w:val="decimal"/>
      <w:isLgl/>
      <w:lvlText w:val="%1.%2.%3.%4."/>
      <w:lvlJc w:val="left"/>
      <w:pPr>
        <w:ind w:left="3402" w:hanging="720"/>
      </w:pPr>
      <w:rPr>
        <w:rFonts w:cs="Times New Roman"/>
      </w:rPr>
    </w:lvl>
    <w:lvl w:ilvl="4">
      <w:start w:val="1"/>
      <w:numFmt w:val="decimal"/>
      <w:isLgl/>
      <w:lvlText w:val="%1.%2.%3.%4.%5."/>
      <w:lvlJc w:val="left"/>
      <w:pPr>
        <w:ind w:left="4536" w:hanging="1080"/>
      </w:pPr>
      <w:rPr>
        <w:rFonts w:cs="Times New Roman"/>
      </w:rPr>
    </w:lvl>
    <w:lvl w:ilvl="5">
      <w:start w:val="1"/>
      <w:numFmt w:val="decimal"/>
      <w:isLgl/>
      <w:lvlText w:val="%1.%2.%3.%4.%5.%6."/>
      <w:lvlJc w:val="left"/>
      <w:pPr>
        <w:ind w:left="5310" w:hanging="1080"/>
      </w:pPr>
      <w:rPr>
        <w:rFonts w:cs="Times New Roman"/>
      </w:rPr>
    </w:lvl>
    <w:lvl w:ilvl="6">
      <w:start w:val="1"/>
      <w:numFmt w:val="decimal"/>
      <w:isLgl/>
      <w:lvlText w:val="%1.%2.%3.%4.%5.%6.%7."/>
      <w:lvlJc w:val="left"/>
      <w:pPr>
        <w:ind w:left="6444" w:hanging="1440"/>
      </w:pPr>
      <w:rPr>
        <w:rFonts w:cs="Times New Roman"/>
      </w:rPr>
    </w:lvl>
    <w:lvl w:ilvl="7">
      <w:start w:val="1"/>
      <w:numFmt w:val="decimal"/>
      <w:isLgl/>
      <w:lvlText w:val="%1.%2.%3.%4.%5.%6.%7.%8."/>
      <w:lvlJc w:val="left"/>
      <w:pPr>
        <w:ind w:left="7218" w:hanging="1440"/>
      </w:pPr>
      <w:rPr>
        <w:rFonts w:cs="Times New Roman"/>
      </w:rPr>
    </w:lvl>
    <w:lvl w:ilvl="8">
      <w:start w:val="1"/>
      <w:numFmt w:val="decimal"/>
      <w:isLgl/>
      <w:lvlText w:val="%1.%2.%3.%4.%5.%6.%7.%8.%9."/>
      <w:lvlJc w:val="left"/>
      <w:pPr>
        <w:ind w:left="8352" w:hanging="1800"/>
      </w:pPr>
      <w:rPr>
        <w:rFonts w:cs="Times New Roman"/>
      </w:rPr>
    </w:lvl>
  </w:abstractNum>
  <w:abstractNum w:abstractNumId="7">
    <w:nsid w:val="2F5C2A9E"/>
    <w:multiLevelType w:val="hybridMultilevel"/>
    <w:tmpl w:val="709CADCE"/>
    <w:lvl w:ilvl="0" w:tplc="2C52AB22">
      <w:start w:val="1"/>
      <w:numFmt w:val="bullet"/>
      <w:lvlText w:val="-"/>
      <w:lvlJc w:val="left"/>
      <w:pPr>
        <w:tabs>
          <w:tab w:val="num" w:pos="1440"/>
        </w:tabs>
        <w:ind w:left="1440" w:hanging="360"/>
      </w:pPr>
      <w:rPr>
        <w:rFonts w:ascii="Trebuchet MS" w:hAnsi="Trebuchet M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8">
    <w:nsid w:val="333E17D3"/>
    <w:multiLevelType w:val="hybridMultilevel"/>
    <w:tmpl w:val="70260552"/>
    <w:lvl w:ilvl="0" w:tplc="4942BC3C">
      <w:start w:val="1"/>
      <w:numFmt w:val="bullet"/>
      <w:lvlText w:val=""/>
      <w:lvlJc w:val="left"/>
      <w:pPr>
        <w:ind w:left="720" w:hanging="360"/>
      </w:pPr>
      <w:rPr>
        <w:rFonts w:ascii="Symbol" w:hAnsi="Symbol" w:hint="default"/>
      </w:rPr>
    </w:lvl>
    <w:lvl w:ilvl="1" w:tplc="D88034F8">
      <w:start w:val="1"/>
      <w:numFmt w:val="bullet"/>
      <w:lvlText w:val=""/>
      <w:lvlJc w:val="left"/>
      <w:pPr>
        <w:ind w:left="1440" w:hanging="360"/>
      </w:pPr>
      <w:rPr>
        <w:rFonts w:ascii="Symbol" w:hAnsi="Symbol" w:hint="default"/>
      </w:rPr>
    </w:lvl>
    <w:lvl w:ilvl="2" w:tplc="92E00F3A">
      <w:numFmt w:val="bullet"/>
      <w:lvlText w:val="–"/>
      <w:lvlJc w:val="left"/>
      <w:pPr>
        <w:ind w:left="2160" w:hanging="360"/>
      </w:pPr>
      <w:rPr>
        <w:rFonts w:ascii="Times New Roman" w:eastAsia="Times New Roman" w:hAnsi="Times New Roman" w:cs="Times New Roman"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9">
    <w:nsid w:val="3DD312C0"/>
    <w:multiLevelType w:val="hybridMultilevel"/>
    <w:tmpl w:val="0428F15E"/>
    <w:lvl w:ilvl="0" w:tplc="4942BC3C">
      <w:start w:val="1"/>
      <w:numFmt w:val="bullet"/>
      <w:lvlText w:val=""/>
      <w:lvlJc w:val="left"/>
      <w:pPr>
        <w:ind w:left="720" w:hanging="360"/>
      </w:pPr>
      <w:rPr>
        <w:rFonts w:ascii="Symbol" w:hAnsi="Symbol" w:hint="default"/>
      </w:rPr>
    </w:lvl>
    <w:lvl w:ilvl="1" w:tplc="D88034F8">
      <w:start w:val="1"/>
      <w:numFmt w:val="bullet"/>
      <w:lvlText w:val=""/>
      <w:lvlJc w:val="left"/>
      <w:pPr>
        <w:ind w:left="1440" w:hanging="360"/>
      </w:pPr>
      <w:rPr>
        <w:rFonts w:ascii="Symbol" w:hAnsi="Symbol" w:hint="default"/>
      </w:rPr>
    </w:lvl>
    <w:lvl w:ilvl="2" w:tplc="92E00F3A">
      <w:numFmt w:val="bullet"/>
      <w:lvlText w:val="–"/>
      <w:lvlJc w:val="left"/>
      <w:pPr>
        <w:ind w:left="2160" w:hanging="360"/>
      </w:pPr>
      <w:rPr>
        <w:rFonts w:ascii="Times New Roman" w:eastAsia="Times New Roman" w:hAnsi="Times New Roman" w:cs="Times New Roman"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0">
    <w:nsid w:val="4E2519A0"/>
    <w:multiLevelType w:val="hybridMultilevel"/>
    <w:tmpl w:val="A74EE98E"/>
    <w:lvl w:ilvl="0" w:tplc="040E000D">
      <w:start w:val="1"/>
      <w:numFmt w:val="bullet"/>
      <w:lvlText w:val=""/>
      <w:lvlJc w:val="left"/>
      <w:pPr>
        <w:ind w:left="794" w:hanging="360"/>
      </w:pPr>
      <w:rPr>
        <w:rFonts w:ascii="Wingdings" w:hAnsi="Wingdings" w:hint="default"/>
      </w:rPr>
    </w:lvl>
    <w:lvl w:ilvl="1" w:tplc="040E0003">
      <w:start w:val="1"/>
      <w:numFmt w:val="bullet"/>
      <w:lvlText w:val="o"/>
      <w:lvlJc w:val="left"/>
      <w:pPr>
        <w:ind w:left="1514" w:hanging="360"/>
      </w:pPr>
      <w:rPr>
        <w:rFonts w:ascii="Courier New" w:hAnsi="Courier New" w:cs="Courier New" w:hint="default"/>
      </w:rPr>
    </w:lvl>
    <w:lvl w:ilvl="2" w:tplc="040E0005" w:tentative="1">
      <w:start w:val="1"/>
      <w:numFmt w:val="bullet"/>
      <w:lvlText w:val=""/>
      <w:lvlJc w:val="left"/>
      <w:pPr>
        <w:ind w:left="2234" w:hanging="360"/>
      </w:pPr>
      <w:rPr>
        <w:rFonts w:ascii="Wingdings" w:hAnsi="Wingdings" w:hint="default"/>
      </w:rPr>
    </w:lvl>
    <w:lvl w:ilvl="3" w:tplc="040E0001" w:tentative="1">
      <w:start w:val="1"/>
      <w:numFmt w:val="bullet"/>
      <w:lvlText w:val=""/>
      <w:lvlJc w:val="left"/>
      <w:pPr>
        <w:ind w:left="2954" w:hanging="360"/>
      </w:pPr>
      <w:rPr>
        <w:rFonts w:ascii="Symbol" w:hAnsi="Symbol" w:hint="default"/>
      </w:rPr>
    </w:lvl>
    <w:lvl w:ilvl="4" w:tplc="040E0003" w:tentative="1">
      <w:start w:val="1"/>
      <w:numFmt w:val="bullet"/>
      <w:lvlText w:val="o"/>
      <w:lvlJc w:val="left"/>
      <w:pPr>
        <w:ind w:left="3674" w:hanging="360"/>
      </w:pPr>
      <w:rPr>
        <w:rFonts w:ascii="Courier New" w:hAnsi="Courier New" w:cs="Courier New" w:hint="default"/>
      </w:rPr>
    </w:lvl>
    <w:lvl w:ilvl="5" w:tplc="040E0005" w:tentative="1">
      <w:start w:val="1"/>
      <w:numFmt w:val="bullet"/>
      <w:lvlText w:val=""/>
      <w:lvlJc w:val="left"/>
      <w:pPr>
        <w:ind w:left="4394" w:hanging="360"/>
      </w:pPr>
      <w:rPr>
        <w:rFonts w:ascii="Wingdings" w:hAnsi="Wingdings" w:hint="default"/>
      </w:rPr>
    </w:lvl>
    <w:lvl w:ilvl="6" w:tplc="040E0001" w:tentative="1">
      <w:start w:val="1"/>
      <w:numFmt w:val="bullet"/>
      <w:lvlText w:val=""/>
      <w:lvlJc w:val="left"/>
      <w:pPr>
        <w:ind w:left="5114" w:hanging="360"/>
      </w:pPr>
      <w:rPr>
        <w:rFonts w:ascii="Symbol" w:hAnsi="Symbol" w:hint="default"/>
      </w:rPr>
    </w:lvl>
    <w:lvl w:ilvl="7" w:tplc="040E0003" w:tentative="1">
      <w:start w:val="1"/>
      <w:numFmt w:val="bullet"/>
      <w:lvlText w:val="o"/>
      <w:lvlJc w:val="left"/>
      <w:pPr>
        <w:ind w:left="5834" w:hanging="360"/>
      </w:pPr>
      <w:rPr>
        <w:rFonts w:ascii="Courier New" w:hAnsi="Courier New" w:cs="Courier New" w:hint="default"/>
      </w:rPr>
    </w:lvl>
    <w:lvl w:ilvl="8" w:tplc="040E0005" w:tentative="1">
      <w:start w:val="1"/>
      <w:numFmt w:val="bullet"/>
      <w:lvlText w:val=""/>
      <w:lvlJc w:val="left"/>
      <w:pPr>
        <w:ind w:left="6554" w:hanging="360"/>
      </w:pPr>
      <w:rPr>
        <w:rFonts w:ascii="Wingdings" w:hAnsi="Wingdings" w:hint="default"/>
      </w:rPr>
    </w:lvl>
  </w:abstractNum>
  <w:abstractNum w:abstractNumId="11">
    <w:nsid w:val="4FE41C73"/>
    <w:multiLevelType w:val="hybridMultilevel"/>
    <w:tmpl w:val="43B28106"/>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2">
    <w:nsid w:val="55864433"/>
    <w:multiLevelType w:val="hybridMultilevel"/>
    <w:tmpl w:val="5F4ECC5C"/>
    <w:lvl w:ilvl="0" w:tplc="4D66B2E0">
      <w:start w:val="1"/>
      <w:numFmt w:val="bullet"/>
      <w:lvlText w:val=""/>
      <w:lvlJc w:val="left"/>
      <w:pPr>
        <w:ind w:left="1855" w:hanging="360"/>
      </w:pPr>
      <w:rPr>
        <w:rFonts w:ascii="Symbol" w:hAnsi="Symbol" w:hint="default"/>
      </w:rPr>
    </w:lvl>
    <w:lvl w:ilvl="1" w:tplc="93082FA6">
      <w:numFmt w:val="bullet"/>
      <w:lvlText w:val="–"/>
      <w:lvlJc w:val="left"/>
      <w:pPr>
        <w:ind w:left="2575" w:hanging="360"/>
      </w:pPr>
      <w:rPr>
        <w:rFonts w:ascii="Times New Roman" w:eastAsia="Times New Roman" w:hAnsi="Times New Roman" w:cs="Times New Roman" w:hint="default"/>
      </w:rPr>
    </w:lvl>
    <w:lvl w:ilvl="2" w:tplc="040E0005">
      <w:start w:val="1"/>
      <w:numFmt w:val="bullet"/>
      <w:lvlText w:val=""/>
      <w:lvlJc w:val="left"/>
      <w:pPr>
        <w:ind w:left="3295" w:hanging="360"/>
      </w:pPr>
      <w:rPr>
        <w:rFonts w:ascii="Wingdings" w:hAnsi="Wingdings" w:hint="default"/>
      </w:rPr>
    </w:lvl>
    <w:lvl w:ilvl="3" w:tplc="040E0001">
      <w:start w:val="1"/>
      <w:numFmt w:val="bullet"/>
      <w:lvlText w:val=""/>
      <w:lvlJc w:val="left"/>
      <w:pPr>
        <w:ind w:left="4015" w:hanging="360"/>
      </w:pPr>
      <w:rPr>
        <w:rFonts w:ascii="Symbol" w:hAnsi="Symbol" w:hint="default"/>
      </w:rPr>
    </w:lvl>
    <w:lvl w:ilvl="4" w:tplc="040E0003">
      <w:start w:val="1"/>
      <w:numFmt w:val="bullet"/>
      <w:lvlText w:val="o"/>
      <w:lvlJc w:val="left"/>
      <w:pPr>
        <w:ind w:left="4735" w:hanging="360"/>
      </w:pPr>
      <w:rPr>
        <w:rFonts w:ascii="Courier New" w:hAnsi="Courier New" w:cs="Times New Roman" w:hint="default"/>
      </w:rPr>
    </w:lvl>
    <w:lvl w:ilvl="5" w:tplc="040E0005">
      <w:start w:val="1"/>
      <w:numFmt w:val="bullet"/>
      <w:lvlText w:val=""/>
      <w:lvlJc w:val="left"/>
      <w:pPr>
        <w:ind w:left="5455" w:hanging="360"/>
      </w:pPr>
      <w:rPr>
        <w:rFonts w:ascii="Wingdings" w:hAnsi="Wingdings" w:hint="default"/>
      </w:rPr>
    </w:lvl>
    <w:lvl w:ilvl="6" w:tplc="040E0001">
      <w:start w:val="1"/>
      <w:numFmt w:val="bullet"/>
      <w:lvlText w:val=""/>
      <w:lvlJc w:val="left"/>
      <w:pPr>
        <w:ind w:left="6175" w:hanging="360"/>
      </w:pPr>
      <w:rPr>
        <w:rFonts w:ascii="Symbol" w:hAnsi="Symbol" w:hint="default"/>
      </w:rPr>
    </w:lvl>
    <w:lvl w:ilvl="7" w:tplc="040E0003">
      <w:start w:val="1"/>
      <w:numFmt w:val="bullet"/>
      <w:lvlText w:val="o"/>
      <w:lvlJc w:val="left"/>
      <w:pPr>
        <w:ind w:left="6895" w:hanging="360"/>
      </w:pPr>
      <w:rPr>
        <w:rFonts w:ascii="Courier New" w:hAnsi="Courier New" w:cs="Times New Roman" w:hint="default"/>
      </w:rPr>
    </w:lvl>
    <w:lvl w:ilvl="8" w:tplc="040E0005">
      <w:start w:val="1"/>
      <w:numFmt w:val="bullet"/>
      <w:lvlText w:val=""/>
      <w:lvlJc w:val="left"/>
      <w:pPr>
        <w:ind w:left="7615" w:hanging="360"/>
      </w:pPr>
      <w:rPr>
        <w:rFonts w:ascii="Wingdings" w:hAnsi="Wingdings" w:hint="default"/>
      </w:rPr>
    </w:lvl>
  </w:abstractNum>
  <w:abstractNum w:abstractNumId="13">
    <w:nsid w:val="55974C2E"/>
    <w:multiLevelType w:val="hybridMultilevel"/>
    <w:tmpl w:val="427E271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4">
    <w:nsid w:val="59E1524A"/>
    <w:multiLevelType w:val="hybridMultilevel"/>
    <w:tmpl w:val="8C60CC38"/>
    <w:lvl w:ilvl="0" w:tplc="8F10C784">
      <w:numFmt w:val="bullet"/>
      <w:lvlText w:val="-"/>
      <w:lvlJc w:val="left"/>
      <w:pPr>
        <w:ind w:left="2345" w:hanging="360"/>
      </w:pPr>
      <w:rPr>
        <w:rFonts w:ascii="Palatino Linotype" w:eastAsia="Times New Roman" w:hAnsi="Palatino Linotype" w:cs="Times New Roman" w:hint="default"/>
      </w:rPr>
    </w:lvl>
    <w:lvl w:ilvl="1" w:tplc="040E0003" w:tentative="1">
      <w:start w:val="1"/>
      <w:numFmt w:val="bullet"/>
      <w:lvlText w:val="o"/>
      <w:lvlJc w:val="left"/>
      <w:pPr>
        <w:ind w:left="3065" w:hanging="360"/>
      </w:pPr>
      <w:rPr>
        <w:rFonts w:ascii="Courier New" w:hAnsi="Courier New" w:cs="Courier New" w:hint="default"/>
      </w:rPr>
    </w:lvl>
    <w:lvl w:ilvl="2" w:tplc="040E0005" w:tentative="1">
      <w:start w:val="1"/>
      <w:numFmt w:val="bullet"/>
      <w:lvlText w:val=""/>
      <w:lvlJc w:val="left"/>
      <w:pPr>
        <w:ind w:left="3785" w:hanging="360"/>
      </w:pPr>
      <w:rPr>
        <w:rFonts w:ascii="Wingdings" w:hAnsi="Wingdings" w:hint="default"/>
      </w:rPr>
    </w:lvl>
    <w:lvl w:ilvl="3" w:tplc="040E0001" w:tentative="1">
      <w:start w:val="1"/>
      <w:numFmt w:val="bullet"/>
      <w:lvlText w:val=""/>
      <w:lvlJc w:val="left"/>
      <w:pPr>
        <w:ind w:left="4505" w:hanging="360"/>
      </w:pPr>
      <w:rPr>
        <w:rFonts w:ascii="Symbol" w:hAnsi="Symbol" w:hint="default"/>
      </w:rPr>
    </w:lvl>
    <w:lvl w:ilvl="4" w:tplc="040E0003" w:tentative="1">
      <w:start w:val="1"/>
      <w:numFmt w:val="bullet"/>
      <w:lvlText w:val="o"/>
      <w:lvlJc w:val="left"/>
      <w:pPr>
        <w:ind w:left="5225" w:hanging="360"/>
      </w:pPr>
      <w:rPr>
        <w:rFonts w:ascii="Courier New" w:hAnsi="Courier New" w:cs="Courier New" w:hint="default"/>
      </w:rPr>
    </w:lvl>
    <w:lvl w:ilvl="5" w:tplc="040E0005" w:tentative="1">
      <w:start w:val="1"/>
      <w:numFmt w:val="bullet"/>
      <w:lvlText w:val=""/>
      <w:lvlJc w:val="left"/>
      <w:pPr>
        <w:ind w:left="5945" w:hanging="360"/>
      </w:pPr>
      <w:rPr>
        <w:rFonts w:ascii="Wingdings" w:hAnsi="Wingdings" w:hint="default"/>
      </w:rPr>
    </w:lvl>
    <w:lvl w:ilvl="6" w:tplc="040E0001" w:tentative="1">
      <w:start w:val="1"/>
      <w:numFmt w:val="bullet"/>
      <w:lvlText w:val=""/>
      <w:lvlJc w:val="left"/>
      <w:pPr>
        <w:ind w:left="6665" w:hanging="360"/>
      </w:pPr>
      <w:rPr>
        <w:rFonts w:ascii="Symbol" w:hAnsi="Symbol" w:hint="default"/>
      </w:rPr>
    </w:lvl>
    <w:lvl w:ilvl="7" w:tplc="040E0003" w:tentative="1">
      <w:start w:val="1"/>
      <w:numFmt w:val="bullet"/>
      <w:lvlText w:val="o"/>
      <w:lvlJc w:val="left"/>
      <w:pPr>
        <w:ind w:left="7385" w:hanging="360"/>
      </w:pPr>
      <w:rPr>
        <w:rFonts w:ascii="Courier New" w:hAnsi="Courier New" w:cs="Courier New" w:hint="default"/>
      </w:rPr>
    </w:lvl>
    <w:lvl w:ilvl="8" w:tplc="040E0005" w:tentative="1">
      <w:start w:val="1"/>
      <w:numFmt w:val="bullet"/>
      <w:lvlText w:val=""/>
      <w:lvlJc w:val="left"/>
      <w:pPr>
        <w:ind w:left="8105" w:hanging="360"/>
      </w:pPr>
      <w:rPr>
        <w:rFonts w:ascii="Wingdings" w:hAnsi="Wingdings" w:hint="default"/>
      </w:rPr>
    </w:lvl>
  </w:abstractNum>
  <w:abstractNum w:abstractNumId="15">
    <w:nsid w:val="6FF13AA3"/>
    <w:multiLevelType w:val="multilevel"/>
    <w:tmpl w:val="88048638"/>
    <w:lvl w:ilvl="0">
      <w:start w:val="5"/>
      <w:numFmt w:val="decimal"/>
      <w:lvlText w:val="%1."/>
      <w:lvlJc w:val="left"/>
      <w:pPr>
        <w:ind w:left="360" w:hanging="360"/>
      </w:pPr>
      <w:rPr>
        <w:rFonts w:cs="Times New Roman"/>
      </w:rPr>
    </w:lvl>
    <w:lvl w:ilvl="1">
      <w:start w:val="1"/>
      <w:numFmt w:val="decimal"/>
      <w:lvlText w:val="%1.%2."/>
      <w:lvlJc w:val="left"/>
      <w:pPr>
        <w:ind w:left="2061" w:hanging="360"/>
      </w:pPr>
      <w:rPr>
        <w:rFonts w:cs="Times New Roman"/>
      </w:rPr>
    </w:lvl>
    <w:lvl w:ilvl="2">
      <w:start w:val="1"/>
      <w:numFmt w:val="decimal"/>
      <w:lvlText w:val="%1.%2.%3."/>
      <w:lvlJc w:val="left"/>
      <w:pPr>
        <w:ind w:left="4122" w:hanging="720"/>
      </w:pPr>
      <w:rPr>
        <w:rFonts w:cs="Times New Roman"/>
      </w:rPr>
    </w:lvl>
    <w:lvl w:ilvl="3">
      <w:start w:val="1"/>
      <w:numFmt w:val="decimal"/>
      <w:lvlText w:val="%1.%2.%3.%4."/>
      <w:lvlJc w:val="left"/>
      <w:pPr>
        <w:ind w:left="5823" w:hanging="720"/>
      </w:pPr>
      <w:rPr>
        <w:rFonts w:cs="Times New Roman"/>
      </w:rPr>
    </w:lvl>
    <w:lvl w:ilvl="4">
      <w:start w:val="1"/>
      <w:numFmt w:val="decimal"/>
      <w:lvlText w:val="%1.%2.%3.%4.%5."/>
      <w:lvlJc w:val="left"/>
      <w:pPr>
        <w:ind w:left="7884" w:hanging="1080"/>
      </w:pPr>
      <w:rPr>
        <w:rFonts w:cs="Times New Roman"/>
      </w:rPr>
    </w:lvl>
    <w:lvl w:ilvl="5">
      <w:start w:val="1"/>
      <w:numFmt w:val="decimal"/>
      <w:lvlText w:val="%1.%2.%3.%4.%5.%6."/>
      <w:lvlJc w:val="left"/>
      <w:pPr>
        <w:ind w:left="9585" w:hanging="1080"/>
      </w:pPr>
      <w:rPr>
        <w:rFonts w:cs="Times New Roman"/>
      </w:rPr>
    </w:lvl>
    <w:lvl w:ilvl="6">
      <w:start w:val="1"/>
      <w:numFmt w:val="decimal"/>
      <w:lvlText w:val="%1.%2.%3.%4.%5.%6.%7."/>
      <w:lvlJc w:val="left"/>
      <w:pPr>
        <w:ind w:left="11646" w:hanging="1440"/>
      </w:pPr>
      <w:rPr>
        <w:rFonts w:cs="Times New Roman"/>
      </w:rPr>
    </w:lvl>
    <w:lvl w:ilvl="7">
      <w:start w:val="1"/>
      <w:numFmt w:val="decimal"/>
      <w:lvlText w:val="%1.%2.%3.%4.%5.%6.%7.%8."/>
      <w:lvlJc w:val="left"/>
      <w:pPr>
        <w:ind w:left="13347" w:hanging="1440"/>
      </w:pPr>
      <w:rPr>
        <w:rFonts w:cs="Times New Roman"/>
      </w:rPr>
    </w:lvl>
    <w:lvl w:ilvl="8">
      <w:start w:val="1"/>
      <w:numFmt w:val="decimal"/>
      <w:lvlText w:val="%1.%2.%3.%4.%5.%6.%7.%8.%9."/>
      <w:lvlJc w:val="left"/>
      <w:pPr>
        <w:ind w:left="15408" w:hanging="1800"/>
      </w:pPr>
      <w:rPr>
        <w:rFonts w:cs="Times New Roman"/>
      </w:rPr>
    </w:lvl>
  </w:abstractNum>
  <w:abstractNum w:abstractNumId="16">
    <w:nsid w:val="74CE490F"/>
    <w:multiLevelType w:val="hybridMultilevel"/>
    <w:tmpl w:val="2D1E544C"/>
    <w:lvl w:ilvl="0" w:tplc="4942BC3C">
      <w:start w:val="1"/>
      <w:numFmt w:val="bullet"/>
      <w:lvlText w:val=""/>
      <w:lvlJc w:val="left"/>
      <w:pPr>
        <w:ind w:left="2344"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7">
    <w:nsid w:val="75517617"/>
    <w:multiLevelType w:val="hybridMultilevel"/>
    <w:tmpl w:val="FCBA2D44"/>
    <w:lvl w:ilvl="0" w:tplc="4942BC3C">
      <w:start w:val="1"/>
      <w:numFmt w:val="bullet"/>
      <w:lvlText w:val=""/>
      <w:lvlJc w:val="left"/>
      <w:pPr>
        <w:ind w:left="720" w:hanging="360"/>
      </w:pPr>
      <w:rPr>
        <w:rFonts w:ascii="Symbol" w:hAnsi="Symbol" w:hint="default"/>
      </w:rPr>
    </w:lvl>
    <w:lvl w:ilvl="1" w:tplc="D88034F8">
      <w:start w:val="1"/>
      <w:numFmt w:val="bullet"/>
      <w:lvlText w:val=""/>
      <w:lvlJc w:val="left"/>
      <w:pPr>
        <w:ind w:left="2487" w:hanging="360"/>
      </w:pPr>
      <w:rPr>
        <w:rFonts w:ascii="Symbol" w:hAnsi="Symbol" w:hint="default"/>
      </w:rPr>
    </w:lvl>
    <w:lvl w:ilvl="2" w:tplc="4D66B2E0">
      <w:start w:val="1"/>
      <w:numFmt w:val="bullet"/>
      <w:lvlText w:val=""/>
      <w:lvlJc w:val="left"/>
      <w:pPr>
        <w:ind w:left="2160" w:hanging="360"/>
      </w:pPr>
      <w:rPr>
        <w:rFonts w:ascii="Symbol" w:hAnsi="Symbol"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8">
    <w:nsid w:val="7C830E2A"/>
    <w:multiLevelType w:val="hybridMultilevel"/>
    <w:tmpl w:val="497232BA"/>
    <w:lvl w:ilvl="0" w:tplc="4942BC3C">
      <w:start w:val="1"/>
      <w:numFmt w:val="bullet"/>
      <w:lvlText w:val=""/>
      <w:lvlJc w:val="left"/>
      <w:pPr>
        <w:ind w:left="720" w:hanging="360"/>
      </w:pPr>
      <w:rPr>
        <w:rFonts w:ascii="Symbol" w:hAnsi="Symbol" w:hint="default"/>
      </w:rPr>
    </w:lvl>
    <w:lvl w:ilvl="1" w:tplc="D88034F8">
      <w:start w:val="1"/>
      <w:numFmt w:val="bullet"/>
      <w:lvlText w:val=""/>
      <w:lvlJc w:val="left"/>
      <w:pPr>
        <w:ind w:left="1440" w:hanging="360"/>
      </w:pPr>
      <w:rPr>
        <w:rFonts w:ascii="Symbol" w:hAnsi="Symbol" w:hint="default"/>
      </w:rPr>
    </w:lvl>
    <w:lvl w:ilvl="2" w:tplc="92E00F3A">
      <w:numFmt w:val="bullet"/>
      <w:lvlText w:val="–"/>
      <w:lvlJc w:val="left"/>
      <w:pPr>
        <w:ind w:left="2160" w:hanging="360"/>
      </w:pPr>
      <w:rPr>
        <w:rFonts w:ascii="Times New Roman" w:eastAsia="Times New Roman" w:hAnsi="Times New Roman" w:cs="Times New Roman"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9">
    <w:nsid w:val="7CD70A02"/>
    <w:multiLevelType w:val="hybridMultilevel"/>
    <w:tmpl w:val="0714D216"/>
    <w:lvl w:ilvl="0" w:tplc="040E0011">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7DE8013E"/>
    <w:multiLevelType w:val="hybridMultilevel"/>
    <w:tmpl w:val="A7D2975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3"/>
  </w:num>
  <w:num w:numId="5">
    <w:abstractNumId w:val="17"/>
  </w:num>
  <w:num w:numId="6">
    <w:abstractNumId w:val="16"/>
  </w:num>
  <w:num w:numId="7">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
  </w:num>
  <w:num w:numId="11">
    <w:abstractNumId w:val="18"/>
  </w:num>
  <w:num w:numId="12">
    <w:abstractNumId w:val="8"/>
  </w:num>
  <w:num w:numId="13">
    <w:abstractNumId w:val="5"/>
  </w:num>
  <w:num w:numId="14">
    <w:abstractNumId w:val="11"/>
  </w:num>
  <w:num w:numId="15">
    <w:abstractNumId w:val="10"/>
  </w:num>
  <w:num w:numId="16">
    <w:abstractNumId w:val="2"/>
  </w:num>
  <w:num w:numId="17">
    <w:abstractNumId w:val="19"/>
  </w:num>
  <w:num w:numId="18">
    <w:abstractNumId w:val="14"/>
  </w:num>
  <w:num w:numId="19">
    <w:abstractNumId w:val="13"/>
  </w:num>
  <w:num w:numId="20">
    <w:abstractNumId w:val="7"/>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A96"/>
    <w:rsid w:val="00121287"/>
    <w:rsid w:val="00250E76"/>
    <w:rsid w:val="005944BA"/>
    <w:rsid w:val="007C222A"/>
    <w:rsid w:val="007E5C11"/>
    <w:rsid w:val="008225EB"/>
    <w:rsid w:val="00834DA9"/>
    <w:rsid w:val="00871DE6"/>
    <w:rsid w:val="008A1CD3"/>
    <w:rsid w:val="008D719F"/>
    <w:rsid w:val="00903E48"/>
    <w:rsid w:val="00925857"/>
    <w:rsid w:val="009502B7"/>
    <w:rsid w:val="00AE24DE"/>
    <w:rsid w:val="00BB299E"/>
    <w:rsid w:val="00D30A96"/>
    <w:rsid w:val="00DF3B3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D9C935-498B-43B5-AF50-6BCA8F49E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D719F"/>
  </w:style>
  <w:style w:type="paragraph" w:styleId="Cmsor1">
    <w:name w:val="heading 1"/>
    <w:basedOn w:val="Norml"/>
    <w:next w:val="Norml"/>
    <w:link w:val="Cmsor1Char"/>
    <w:uiPriority w:val="9"/>
    <w:qFormat/>
    <w:rsid w:val="008D719F"/>
    <w:pPr>
      <w:keepNext/>
      <w:keepLines/>
      <w:spacing w:before="480" w:after="0"/>
      <w:outlineLvl w:val="0"/>
    </w:pPr>
    <w:rPr>
      <w:rFonts w:ascii="Calibri Light" w:eastAsia="Times New Roman" w:hAnsi="Calibri Light" w:cs="Times New Roman"/>
      <w:color w:val="2E74B5"/>
      <w:sz w:val="32"/>
      <w:szCs w:val="32"/>
    </w:rPr>
  </w:style>
  <w:style w:type="paragraph" w:styleId="Cmsor3">
    <w:name w:val="heading 3"/>
    <w:basedOn w:val="Norml"/>
    <w:next w:val="Norml"/>
    <w:link w:val="Cmsor3Char"/>
    <w:uiPriority w:val="9"/>
    <w:semiHidden/>
    <w:unhideWhenUsed/>
    <w:qFormat/>
    <w:rsid w:val="008D719F"/>
    <w:pPr>
      <w:keepNext/>
      <w:keepLines/>
      <w:spacing w:before="200" w:after="0"/>
      <w:outlineLvl w:val="2"/>
    </w:pPr>
    <w:rPr>
      <w:rFonts w:ascii="Calibri Light" w:eastAsia="Times New Roman" w:hAnsi="Calibri Light" w:cs="Times New Roman"/>
      <w:color w:val="1F4D78"/>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msor11">
    <w:name w:val="Címsor 11"/>
    <w:basedOn w:val="Norml"/>
    <w:next w:val="Norml"/>
    <w:uiPriority w:val="9"/>
    <w:qFormat/>
    <w:rsid w:val="008D719F"/>
    <w:pPr>
      <w:keepNext/>
      <w:keepLines/>
      <w:spacing w:before="240" w:after="0" w:line="240" w:lineRule="auto"/>
      <w:outlineLvl w:val="0"/>
    </w:pPr>
    <w:rPr>
      <w:rFonts w:ascii="Calibri Light" w:eastAsia="Times New Roman" w:hAnsi="Calibri Light" w:cs="Times New Roman"/>
      <w:color w:val="2E74B5"/>
      <w:sz w:val="32"/>
      <w:szCs w:val="32"/>
    </w:rPr>
  </w:style>
  <w:style w:type="paragraph" w:customStyle="1" w:styleId="Cmsor31">
    <w:name w:val="Címsor 31"/>
    <w:basedOn w:val="Norml"/>
    <w:next w:val="Norml"/>
    <w:uiPriority w:val="9"/>
    <w:semiHidden/>
    <w:unhideWhenUsed/>
    <w:qFormat/>
    <w:rsid w:val="008D719F"/>
    <w:pPr>
      <w:keepNext/>
      <w:keepLines/>
      <w:spacing w:before="40" w:after="0" w:line="240" w:lineRule="auto"/>
      <w:outlineLvl w:val="2"/>
    </w:pPr>
    <w:rPr>
      <w:rFonts w:ascii="Calibri Light" w:eastAsia="Times New Roman" w:hAnsi="Calibri Light" w:cs="Times New Roman"/>
      <w:color w:val="1F4D78"/>
      <w:sz w:val="24"/>
      <w:szCs w:val="24"/>
    </w:rPr>
  </w:style>
  <w:style w:type="character" w:customStyle="1" w:styleId="Cmsor1Char">
    <w:name w:val="Címsor 1 Char"/>
    <w:basedOn w:val="Bekezdsalapbettpusa"/>
    <w:link w:val="Cmsor1"/>
    <w:uiPriority w:val="9"/>
    <w:rsid w:val="008D719F"/>
    <w:rPr>
      <w:rFonts w:ascii="Calibri Light" w:eastAsia="Times New Roman" w:hAnsi="Calibri Light" w:cs="Times New Roman"/>
      <w:color w:val="2E74B5"/>
      <w:sz w:val="32"/>
      <w:szCs w:val="32"/>
    </w:rPr>
  </w:style>
  <w:style w:type="character" w:customStyle="1" w:styleId="Cmsor3Char">
    <w:name w:val="Címsor 3 Char"/>
    <w:basedOn w:val="Bekezdsalapbettpusa"/>
    <w:link w:val="Cmsor3"/>
    <w:uiPriority w:val="9"/>
    <w:semiHidden/>
    <w:rsid w:val="008D719F"/>
    <w:rPr>
      <w:rFonts w:ascii="Calibri Light" w:eastAsia="Times New Roman" w:hAnsi="Calibri Light" w:cs="Times New Roman"/>
      <w:color w:val="1F4D78"/>
      <w:sz w:val="24"/>
      <w:szCs w:val="24"/>
    </w:rPr>
  </w:style>
  <w:style w:type="paragraph" w:styleId="Listaszerbekezds">
    <w:name w:val="List Paragraph"/>
    <w:basedOn w:val="Norml"/>
    <w:uiPriority w:val="34"/>
    <w:qFormat/>
    <w:rsid w:val="008D719F"/>
    <w:pPr>
      <w:spacing w:after="0" w:line="240" w:lineRule="auto"/>
      <w:ind w:left="720"/>
      <w:contextualSpacing/>
    </w:pPr>
    <w:rPr>
      <w:rFonts w:ascii="Times New Roman" w:eastAsia="Times New Roman" w:hAnsi="Times New Roman" w:cs="Times New Roman"/>
      <w:color w:val="000000"/>
    </w:rPr>
  </w:style>
  <w:style w:type="numbering" w:customStyle="1" w:styleId="Nemlista1">
    <w:name w:val="Nem lista1"/>
    <w:next w:val="Nemlista"/>
    <w:uiPriority w:val="99"/>
    <w:semiHidden/>
    <w:unhideWhenUsed/>
    <w:rsid w:val="00D30A96"/>
  </w:style>
  <w:style w:type="paragraph" w:customStyle="1" w:styleId="NormlStluscsoport1">
    <w:name w:val="Normál (Stíluscsoport 1)"/>
    <w:basedOn w:val="Norml"/>
    <w:uiPriority w:val="99"/>
    <w:rsid w:val="00D30A96"/>
    <w:pPr>
      <w:autoSpaceDE w:val="0"/>
      <w:autoSpaceDN w:val="0"/>
      <w:adjustRightInd w:val="0"/>
      <w:spacing w:after="0" w:line="288" w:lineRule="auto"/>
    </w:pPr>
    <w:rPr>
      <w:rFonts w:ascii="Times New Roman" w:eastAsia="Times New Roman" w:hAnsi="Times New Roman" w:cs="Times New Roman"/>
      <w:color w:val="000000"/>
      <w:sz w:val="24"/>
      <w:szCs w:val="24"/>
      <w:lang w:eastAsia="hu-HU"/>
    </w:rPr>
  </w:style>
  <w:style w:type="paragraph" w:customStyle="1" w:styleId="FCm">
    <w:name w:val="FôCím"/>
    <w:basedOn w:val="Norml"/>
    <w:qFormat/>
    <w:rsid w:val="00D30A96"/>
    <w:pPr>
      <w:keepNext/>
      <w:keepLines/>
      <w:spacing w:before="480" w:after="240" w:line="240" w:lineRule="auto"/>
      <w:jc w:val="center"/>
    </w:pPr>
    <w:rPr>
      <w:rFonts w:ascii="Times New Roman" w:eastAsia="Times New Roman" w:hAnsi="Times New Roman" w:cs="Arial"/>
      <w:b/>
      <w:sz w:val="28"/>
      <w:lang w:eastAsia="hu-HU"/>
    </w:rPr>
  </w:style>
  <w:style w:type="paragraph" w:styleId="NormlWeb">
    <w:name w:val="Normal (Web)"/>
    <w:basedOn w:val="Norml"/>
    <w:uiPriority w:val="99"/>
    <w:unhideWhenUsed/>
    <w:rsid w:val="00D30A96"/>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D30A96"/>
    <w:rPr>
      <w:b/>
      <w:bCs/>
    </w:rPr>
  </w:style>
  <w:style w:type="paragraph" w:styleId="Buborkszveg">
    <w:name w:val="Balloon Text"/>
    <w:basedOn w:val="Norml"/>
    <w:link w:val="BuborkszvegChar"/>
    <w:uiPriority w:val="99"/>
    <w:semiHidden/>
    <w:unhideWhenUsed/>
    <w:rsid w:val="00D30A96"/>
    <w:pPr>
      <w:spacing w:after="0" w:line="240" w:lineRule="auto"/>
      <w:jc w:val="both"/>
    </w:pPr>
    <w:rPr>
      <w:rFonts w:ascii="Tahoma" w:eastAsia="Times New Roman" w:hAnsi="Tahoma" w:cs="Tahoma"/>
      <w:sz w:val="16"/>
      <w:szCs w:val="16"/>
      <w:lang w:eastAsia="hu-HU"/>
    </w:rPr>
  </w:style>
  <w:style w:type="character" w:customStyle="1" w:styleId="BuborkszvegChar">
    <w:name w:val="Buborékszöveg Char"/>
    <w:basedOn w:val="Bekezdsalapbettpusa"/>
    <w:link w:val="Buborkszveg"/>
    <w:uiPriority w:val="99"/>
    <w:semiHidden/>
    <w:rsid w:val="00D30A96"/>
    <w:rPr>
      <w:rFonts w:ascii="Tahoma" w:eastAsia="Times New Roman" w:hAnsi="Tahoma" w:cs="Tahoma"/>
      <w:sz w:val="16"/>
      <w:szCs w:val="16"/>
      <w:lang w:eastAsia="hu-HU"/>
    </w:rPr>
  </w:style>
  <w:style w:type="table" w:styleId="Rcsostblzat">
    <w:name w:val="Table Grid"/>
    <w:aliases w:val="Szegély nélküli"/>
    <w:basedOn w:val="Normltblzat"/>
    <w:uiPriority w:val="99"/>
    <w:rsid w:val="00D30A96"/>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fej">
    <w:name w:val="header"/>
    <w:basedOn w:val="Norml"/>
    <w:link w:val="lfejChar"/>
    <w:uiPriority w:val="99"/>
    <w:unhideWhenUsed/>
    <w:rsid w:val="00834DA9"/>
    <w:pPr>
      <w:tabs>
        <w:tab w:val="center" w:pos="4536"/>
        <w:tab w:val="right" w:pos="9072"/>
      </w:tabs>
      <w:spacing w:after="0" w:line="240" w:lineRule="auto"/>
    </w:pPr>
  </w:style>
  <w:style w:type="character" w:customStyle="1" w:styleId="lfejChar">
    <w:name w:val="Élőfej Char"/>
    <w:basedOn w:val="Bekezdsalapbettpusa"/>
    <w:link w:val="lfej"/>
    <w:uiPriority w:val="99"/>
    <w:rsid w:val="00834DA9"/>
  </w:style>
  <w:style w:type="paragraph" w:styleId="llb">
    <w:name w:val="footer"/>
    <w:basedOn w:val="Norml"/>
    <w:link w:val="llbChar"/>
    <w:uiPriority w:val="99"/>
    <w:unhideWhenUsed/>
    <w:rsid w:val="00834DA9"/>
    <w:pPr>
      <w:tabs>
        <w:tab w:val="center" w:pos="4536"/>
        <w:tab w:val="right" w:pos="9072"/>
      </w:tabs>
      <w:spacing w:after="0" w:line="240" w:lineRule="auto"/>
    </w:pPr>
  </w:style>
  <w:style w:type="character" w:customStyle="1" w:styleId="llbChar">
    <w:name w:val="Élőláb Char"/>
    <w:basedOn w:val="Bekezdsalapbettpusa"/>
    <w:link w:val="llb"/>
    <w:uiPriority w:val="99"/>
    <w:rsid w:val="00834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15749</Words>
  <Characters>108674</Characters>
  <Application>Microsoft Office Word</Application>
  <DocSecurity>0</DocSecurity>
  <Lines>905</Lines>
  <Paragraphs>248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124175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2020-04-01T14:41:00Z</dcterms:created>
  <dcterms:modified xsi:type="dcterms:W3CDTF">2020-04-01T14:41:00Z</dcterms:modified>
</cp:coreProperties>
</file>