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33" w:rsidRDefault="005C7B33" w:rsidP="005C7B33">
      <w:pPr>
        <w:spacing w:before="180" w:after="120"/>
        <w:jc w:val="center"/>
        <w:rPr>
          <w:b/>
        </w:rPr>
      </w:pPr>
      <w:r>
        <w:rPr>
          <w:b/>
        </w:rPr>
        <w:t xml:space="preserve">Hencida Községi Önkormányzat Képviselőtestülete </w:t>
      </w:r>
    </w:p>
    <w:p w:rsidR="005C7B33" w:rsidRDefault="005C7B33" w:rsidP="005C7B33">
      <w:pPr>
        <w:spacing w:before="180" w:after="120"/>
        <w:jc w:val="center"/>
        <w:rPr>
          <w:b/>
        </w:rPr>
      </w:pPr>
      <w:r>
        <w:rPr>
          <w:b/>
        </w:rPr>
        <w:t>2/2015. (II.05.) önkormányzati rendelete</w:t>
      </w:r>
    </w:p>
    <w:p w:rsidR="005C7B33" w:rsidRDefault="005C7B33" w:rsidP="005C7B33">
      <w:pPr>
        <w:spacing w:before="180" w:after="120"/>
        <w:jc w:val="center"/>
        <w:rPr>
          <w:b/>
        </w:rPr>
      </w:pPr>
      <w:r>
        <w:rPr>
          <w:b/>
        </w:rPr>
        <w:t>Az utcanév és településrésznév megállapításának, közintézmény elnevezésének, valamint az utcanév, házszámtábla és emléktábla elhelyezésének rendjéről</w:t>
      </w:r>
    </w:p>
    <w:p w:rsidR="005C7B33" w:rsidRDefault="005C7B33" w:rsidP="005C7B33">
      <w:pPr>
        <w:pStyle w:val="Bekezds"/>
        <w:ind w:firstLine="0"/>
        <w:rPr>
          <w:szCs w:val="24"/>
        </w:rPr>
      </w:pPr>
      <w:r>
        <w:rPr>
          <w:szCs w:val="24"/>
        </w:rPr>
        <w:t>Hencida Község Önkormányzatának Képviselő-testülete a Magyarország helyi önkormányzatairól szóló 2011. évi CLXXXIX. törvény 51. § (5) bekezdésében és 143. § (3) bekezdésében kapott felhatalmazás alapján, az Alaptörvény 32. cikk (1) bekezdés</w:t>
      </w:r>
      <w:r>
        <w:rPr>
          <w:i/>
          <w:szCs w:val="24"/>
        </w:rPr>
        <w:t xml:space="preserve"> a)</w:t>
      </w:r>
      <w:r>
        <w:rPr>
          <w:szCs w:val="24"/>
        </w:rPr>
        <w:t xml:space="preserve"> pontjában és a Magyarország helyi önkormányzatairól szóló 2011. évi CLXXXIX. törvény 13. § (1) bekezdés 3. pontjában meghatározott feladatkörében eljárva a következőket rendeli el: </w:t>
      </w:r>
    </w:p>
    <w:p w:rsidR="005C7B33" w:rsidRDefault="005C7B33" w:rsidP="005C7B33">
      <w:pPr>
        <w:pStyle w:val="FejezetCm"/>
        <w:rPr>
          <w:szCs w:val="24"/>
        </w:rPr>
      </w:pPr>
      <w:r>
        <w:rPr>
          <w:szCs w:val="24"/>
        </w:rPr>
        <w:t>I. A rendelet célja, hatálya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1. § </w:t>
      </w:r>
      <w:r>
        <w:rPr>
          <w:szCs w:val="24"/>
        </w:rPr>
        <w:t xml:space="preserve">A rendelet célja, hogy egységesen szabályozza a település igazgatási területén a közterületek elnevezésének és a házszám-megállapításnak a rendjét, a nagyobb területű összefüggő településrész, lakótelep, stb. (a továbbiakban: településrész), valamint a település tulajdonában álló közintézmények elnevezését és ennek során érvényesítse a helyi sajátosságokat, illetve az igazgatási, földrajzi, történelmi, közlekedési-tájékozódási és nyelvhelyességi szempontokat. 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2. § </w:t>
      </w:r>
      <w:r>
        <w:rPr>
          <w:szCs w:val="24"/>
        </w:rPr>
        <w:t>A rendelet hatálya a település közigazgatási területén található közterületekre és építményekre, illetve azok tulajdonosaira és használóira terjed ki.</w:t>
      </w:r>
    </w:p>
    <w:p w:rsidR="005C7B33" w:rsidRDefault="005C7B33" w:rsidP="005C7B33">
      <w:pPr>
        <w:pStyle w:val="FejezetCm"/>
        <w:rPr>
          <w:szCs w:val="24"/>
        </w:rPr>
      </w:pPr>
      <w:r>
        <w:rPr>
          <w:szCs w:val="24"/>
        </w:rPr>
        <w:t>II. Az utcanév és településrésznév megállapítása, közintézmény elnevezése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3. § </w:t>
      </w:r>
      <w:r>
        <w:rPr>
          <w:szCs w:val="24"/>
        </w:rPr>
        <w:t>(1) Hencida község belterületén és a külterületi lakott helyeken a közterületeket el kell nevezni. A külterületi egyéb közterületeket elnevezéssel lehet ellátni. A lakótelepek épületei közötti szervizutakat, továbbá a mezőgazdasági célú és lakónépességet nem érintő dűlőutakat nem szükséges elnevezni.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(2) Az elnevezett utca természetes folytatásaként nyíló új útszakasz külön elnevezési eljárás nélkül a már elnevezett utca nevét veszi fel.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(3) A közterület elnevezése előtagként a közterület nevéből, és utótagként a közterület jellegére utaló meghatározásból (út, utca, tér, köz, sor stb.) áll.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(4) Közterületet személyről, tárgyról, állatról, növényről, történelmi eseményről, földrajzi névről vagy fogalomról lehet elnevezni.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(5) Közterület, közintézmény csak elhunyt személyről nevezhető el, emléktábla csak elhunyt személynek állítható.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szCs w:val="24"/>
        </w:rPr>
        <w:t>(6) A személyről történő elnevezés során törekedni kell arra, hogy az elnevezés olyan személynek állítson emléket, aki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i/>
          <w:szCs w:val="24"/>
        </w:rPr>
        <w:t>a)</w:t>
      </w:r>
      <w:r>
        <w:rPr>
          <w:szCs w:val="24"/>
        </w:rPr>
        <w:t xml:space="preserve"> a társadalmi élet bármely területén kimagasló érdemeket szerzett és</w:t>
      </w:r>
    </w:p>
    <w:p w:rsidR="005C7B33" w:rsidRDefault="005C7B33" w:rsidP="005C7B33">
      <w:pPr>
        <w:pStyle w:val="Bekezds"/>
        <w:rPr>
          <w:szCs w:val="24"/>
        </w:rPr>
      </w:pPr>
      <w:r>
        <w:rPr>
          <w:i/>
          <w:szCs w:val="24"/>
        </w:rPr>
        <w:t>b)</w:t>
      </w:r>
      <w:r>
        <w:rPr>
          <w:szCs w:val="24"/>
        </w:rPr>
        <w:t xml:space="preserve"> élete, munkássága valamely módon kötődik a településhez.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(7) A közterületek elnevezésénél figyelemmel kell lenni a helyi kulturális, természeti vagy történelmi értékekre, sajátosságokra, a magyar nyelvhelyesség követelményeire, továbbá arra, hogy az elnevezés közérthető legyen.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(8) A település közigazgatási területén több azonos elnevezésű közterület nem lehet.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(9) Közterület elnevezését a megállapításától számított 15 éven belül nem lehet megváltoztatni.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lastRenderedPageBreak/>
        <w:t xml:space="preserve">(10) Ha egy közterület településrendezés, beépítés következtében két vagy több részre tagozódik, egységes közterületként megszűnik, új nevet kell adni a közterületnek.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(11) A közterület nevének megváltoztatására a közterület elnevezésére vonatkozó szabályokat kell alkalmazni.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(12) Településrész és közintézmény az utca-elnevezési szabályok értelemszerű alkalmazásával nevezhető el. 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4. § </w:t>
      </w:r>
      <w:r>
        <w:rPr>
          <w:szCs w:val="24"/>
        </w:rPr>
        <w:t xml:space="preserve">(1) Az utcát, a településrészt és – eltérő jogszabályi rendelkezés hiányában – az önkormányzat intézményét a Képviselő-testület nevezi el, valamint dönt az emléktábla elhelyezéséről.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(2) A közterületek elnevezésére, illetve annak megváltoztatására irányuló eljárás írásbeli kezdeményezés alapján hivatalból indul. Az utca elnevezését, emléktábla elhelyezését bárki kezdeményezheti.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(3) A javaslatot a polgármester terjeszti a képviselő-testület elé. Az előterjesztéshez térképvázlatot is csatolni kell, amely tartalmazza az elnevezni kívánt közterület határait és a hozzá tartozó ingatlanokat.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(4) Új utca elnevezésére beépítésének megkezdése előtt, területének közterületként való bejegyzésével egyidejűleg kell javaslatot tenni.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(5) A közterületek elnevezésével kapcsolatos előkészítő feladatokat az erre létrehozott eseti Bizottság látja el.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szCs w:val="24"/>
        </w:rPr>
        <w:t>(6) Az eseti Bizottság ülésén az elnevezéssel és emléktábla elhelyezéssel kapcsolatos előterjesztés tárgyalására meghívót kapnak, a következő személyek: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i/>
          <w:szCs w:val="24"/>
        </w:rPr>
        <w:t>a)</w:t>
      </w:r>
      <w:r>
        <w:rPr>
          <w:szCs w:val="24"/>
        </w:rPr>
        <w:t xml:space="preserve"> az érintett egyéni választókerület képviselője,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i/>
          <w:szCs w:val="24"/>
        </w:rPr>
        <w:t>b)</w:t>
      </w:r>
      <w:r>
        <w:rPr>
          <w:szCs w:val="24"/>
        </w:rPr>
        <w:t xml:space="preserve"> a helyi egyesületek, alapítványok elnöke vagy megbízottja,</w:t>
      </w:r>
    </w:p>
    <w:p w:rsidR="005C7B33" w:rsidRDefault="005C7B33" w:rsidP="005C7B33">
      <w:pPr>
        <w:pStyle w:val="Bekezds"/>
        <w:rPr>
          <w:szCs w:val="24"/>
        </w:rPr>
      </w:pPr>
      <w:r>
        <w:rPr>
          <w:i/>
          <w:szCs w:val="24"/>
        </w:rPr>
        <w:t>c)</w:t>
      </w:r>
      <w:r>
        <w:rPr>
          <w:szCs w:val="24"/>
        </w:rPr>
        <w:t xml:space="preserve"> közintézmény elnevezése esetén az intézmény vezetője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szCs w:val="24"/>
        </w:rPr>
        <w:t>(7) Az emléktábla elhelyezésével kapcsolatos véleménynek tartalmaznia kell: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i/>
          <w:szCs w:val="24"/>
        </w:rPr>
        <w:t>a)</w:t>
      </w:r>
      <w:r>
        <w:rPr>
          <w:szCs w:val="24"/>
        </w:rPr>
        <w:t xml:space="preserve"> ki kapjon az életműve méltó elismeréseként emléktáblát,</w:t>
      </w:r>
    </w:p>
    <w:p w:rsidR="005C7B33" w:rsidRDefault="005C7B33" w:rsidP="005C7B33">
      <w:pPr>
        <w:pStyle w:val="Bekezds"/>
        <w:rPr>
          <w:i/>
          <w:szCs w:val="24"/>
        </w:rPr>
      </w:pPr>
      <w:r>
        <w:rPr>
          <w:i/>
          <w:szCs w:val="24"/>
        </w:rPr>
        <w:t>b)</w:t>
      </w:r>
      <w:r>
        <w:rPr>
          <w:szCs w:val="24"/>
        </w:rPr>
        <w:t xml:space="preserve"> az emléktábla elhelyezésének helyét,</w:t>
      </w:r>
    </w:p>
    <w:p w:rsidR="005C7B33" w:rsidRDefault="005C7B33" w:rsidP="005C7B33">
      <w:pPr>
        <w:pStyle w:val="Bekezds"/>
        <w:rPr>
          <w:szCs w:val="24"/>
        </w:rPr>
      </w:pPr>
      <w:r>
        <w:rPr>
          <w:i/>
          <w:szCs w:val="24"/>
        </w:rPr>
        <w:t>c)</w:t>
      </w:r>
      <w:r>
        <w:rPr>
          <w:szCs w:val="24"/>
        </w:rPr>
        <w:t xml:space="preserve"> az emléktábla formáját és szövegét.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(8) A közterület elnevezésével kapcsolatos döntést a helyben szokásos módon közzé kell tenni, továbbá a döntésről értesíteni kell az Okmányirodát, a Levéltárat, az illetékes földhivatalt, a helyi rendőrkapitányságot, postahivatalt, tűzoltóságot, mentőállomást, a közmű-szolgáltatókat és a cégbíróságot.</w:t>
      </w:r>
    </w:p>
    <w:p w:rsidR="005C7B33" w:rsidRDefault="005C7B33" w:rsidP="005C7B33">
      <w:pPr>
        <w:pStyle w:val="FejezetCm"/>
        <w:rPr>
          <w:szCs w:val="24"/>
        </w:rPr>
      </w:pPr>
      <w:r>
        <w:rPr>
          <w:szCs w:val="24"/>
        </w:rPr>
        <w:t>III. Utcanév-tábla szövege és elhelyezése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bCs/>
          <w:szCs w:val="24"/>
        </w:rPr>
        <w:t xml:space="preserve">5. § </w:t>
      </w:r>
      <w:r>
        <w:rPr>
          <w:szCs w:val="24"/>
        </w:rPr>
        <w:t xml:space="preserve">(1) A közterületi névtábla kihelyezése, karbantartása és pótlása az önkormányzat feladata.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(2) A közterületi névtáblákat jól látható, az eligazodást, tájékoztatást segítő helyen, a helyszíni adottságok figyelembevételével kell elhelyezni. Az utcanév-táblát az utca mindkét oldalán, az utca elején és végén, valamint az utca útkereszteződéseinél minden sarokingatlanon kell elhelyezni.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(3) Az utcanév-táblának az utca nevét és az utca házszámait kell tartalmaznia. Az utcanév-táblán – külön a páratlan és külön a páros számozásnak megfelelően – fel kell tüntetni az utca elejétől a végéig, az útkereszteződéstől útkereszteződésig, illetőleg az ellenkező irányba terjedő házszámokat, és jelölni kell a házszámozás irányát.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(4) Tér és külterületi lakott hely, illetőleg az általánostól eltérő jellegű beépítettségű közterület utcanév-táblájának a szövege és elhelyezése az előbbiektől eltérhet, más helyeken pedig szükségszerűen több utcanév-tábla is elhelyezhető.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(5) Az ingatlan tulajdonosa (kezelője) az utcanév-tábla elhelyezését tűrni köteles.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lastRenderedPageBreak/>
        <w:t xml:space="preserve">(6) A régi elnevezést feltüntető névtáblákat a változásról szóló döntést követő 1 évig átlós vonallal áthúzva az eredeti helyén kell hagyni. Az új elnevezést feltüntető névtáblákat közvetlenül a régi mellett kell elhelyezni.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(7) Az elhelyezett utcanév-tábla megrongálása, beszennyezése, olvashatatlanná tétele, szövegének megváltoztatása, engedély nélküli eltávolítása tilos. </w:t>
      </w:r>
    </w:p>
    <w:p w:rsidR="005C7B33" w:rsidRDefault="005C7B33" w:rsidP="005C7B33">
      <w:pPr>
        <w:pStyle w:val="FejezetCm"/>
        <w:rPr>
          <w:szCs w:val="24"/>
        </w:rPr>
      </w:pPr>
      <w:r>
        <w:rPr>
          <w:szCs w:val="24"/>
        </w:rPr>
        <w:t>IV. Az ingatlanok számozása, a házszám-táblák elhelyezése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6. § </w:t>
      </w:r>
      <w:r>
        <w:rPr>
          <w:szCs w:val="24"/>
        </w:rPr>
        <w:t>(1) A lakóházakat, az egyéb épületeket és az építési telkeket házszámmal kell ellátni és a házszámozást nyilván kell tartani. Külterületi ingatlant – közterületi elnevezés hiányában – helyrajzi számmal kell jelölni.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(2) Az ingatlanok számozására arab számokat kell használni. Kisegítő jelzésként alátöréssel a magyar ABC ékezet nélküli betűi vagy arab számok is alkalmazhatóak.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(3) A házszámozást új utca esetén annak keletkezésével, illetőleg a telekalakítás elrendelésével (engedélyezésével) egyidejűleg kell elvégezni.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(4) A házszámozást úgy kell elvégezni, hogy a számok növekedése a településcentrumtól kifelé haladó irányt kövesse és az utca bal oldalán a páratlan, a jobb oldalán a páros házszámok legyenek. Amennyiben ez a megoldás nem alkalmazható, az érintett közterület számozását a magasabb rendű közút irányából kell megkezdeni. A csak egyoldalon beépíthető közterület házszám-megállapítása 1-től kezdődően folyamatosan is történhet.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(5) A tér és a külterületi lakott hely, illetőleg az általánostól eltérő jellegű beépítettségű közterület ingatlanainak a számozása ettől eltérhet. Terek esetén a házszám-megállapítás 1-től kezdődően folyamatosan, az óramutató járásával megegyezően alakítandó ki.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(6) Saroktelek esetében csak annak az oldalnak kell házszámot megállapítani, amelyen a gyalogos közlekedésre alkalmas kapubejárat van.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(7) Tömbtelken kialakított többszintes épületeknél minden lépcsőházat önálló házszámmal kell ellátni.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(8) Egy közterületre nyíló több ingatlan azonos számmal nem jelölhető.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(9) A már megállapított házszámok megváltoztatására csak indokolt esetben, olyan rendezetlen állapot megszüntetése érdekében kerülhet sor, amely az ingatlanok azonosítását akadályozzák.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7. § </w:t>
      </w:r>
      <w:r>
        <w:rPr>
          <w:szCs w:val="24"/>
        </w:rPr>
        <w:t>(1) A házszámtábla elhelyezése, karbantartása és pótlása az ingatlan tulajdonosának (kezelőjének) kötelezettsége.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(2) Az ingatlan házszámát, vagy – amennyiben az ingatlan más módon egyértelműen nem azonosítható – helyrajzi számát tartalmazó táblát (továbbiakban együtt: házszámtábla) az ingatlan utcafronti kerítésére, házfalára, vagy külön tartószerkezetre, a közterületről jól látható módon kell kihelyezni.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>(3) A külterületen elhelyezésre kerülő házszámtáblán, ahol nincs utca elnevezve – a házszámmal együtt – a külterületi lakott hely elnevezését is fel kell tüntetni.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szCs w:val="24"/>
        </w:rPr>
        <w:t xml:space="preserve">8. § </w:t>
      </w:r>
      <w:r>
        <w:rPr>
          <w:szCs w:val="24"/>
        </w:rPr>
        <w:t>(1) A házszám-megállapításra irányuló eljárás írásbeli kezdeményezés alapján hivatalból indul. Az ingatlan házszámát a jegyző határozattal állapítja meg.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(2) Több ingatlant érintő házszám-megállapítás közterületenként egy határozatban történik. </w:t>
      </w:r>
    </w:p>
    <w:p w:rsidR="005C7B33" w:rsidRDefault="005C7B33" w:rsidP="005C7B33">
      <w:pPr>
        <w:pStyle w:val="Bekezds"/>
        <w:rPr>
          <w:szCs w:val="24"/>
        </w:rPr>
      </w:pPr>
      <w:r>
        <w:rPr>
          <w:szCs w:val="24"/>
        </w:rPr>
        <w:t xml:space="preserve">(3) A házszám megállapításáról szóló határozatot az érintett ingatlannal rendelkezni jogosultakon túl közölni kell az ingatlannal közvetlenül határos ingatlan tulajdonosaival, továbbá az ingatlan- vagy lakcímnyilvántartó hatóságokkal. </w:t>
      </w:r>
    </w:p>
    <w:p w:rsidR="005C7B33" w:rsidRDefault="005C7B33" w:rsidP="005C7B33">
      <w:pPr>
        <w:pStyle w:val="Bekezds"/>
        <w:rPr>
          <w:bCs/>
          <w:i/>
          <w:szCs w:val="24"/>
        </w:rPr>
      </w:pPr>
      <w:r>
        <w:rPr>
          <w:b/>
          <w:bCs/>
          <w:szCs w:val="24"/>
        </w:rPr>
        <w:t xml:space="preserve">9. § </w:t>
      </w:r>
      <w:r>
        <w:rPr>
          <w:bCs/>
          <w:szCs w:val="24"/>
        </w:rPr>
        <w:t xml:space="preserve">(1) Aki utcanévtáblát, házszámtáblát, helyrajzi számot jelölő táblát, ismertető táblát </w:t>
      </w:r>
    </w:p>
    <w:p w:rsidR="005C7B33" w:rsidRDefault="005C7B33" w:rsidP="005C7B33">
      <w:pPr>
        <w:pStyle w:val="Bekezds"/>
        <w:rPr>
          <w:bCs/>
          <w:i/>
          <w:szCs w:val="24"/>
        </w:rPr>
      </w:pPr>
      <w:r>
        <w:rPr>
          <w:bCs/>
          <w:i/>
          <w:szCs w:val="24"/>
        </w:rPr>
        <w:t>a)</w:t>
      </w:r>
      <w:r>
        <w:rPr>
          <w:bCs/>
          <w:szCs w:val="24"/>
        </w:rPr>
        <w:t xml:space="preserve"> eltakar, vagy bármely más módon a tájékoztató jellegét megszünteti, állagmegóvásáról nem gondoskodik, vagy a kihelyezését elmulasztja;</w:t>
      </w:r>
    </w:p>
    <w:p w:rsidR="005C7B33" w:rsidRDefault="005C7B33" w:rsidP="005C7B33">
      <w:pPr>
        <w:pStyle w:val="Bekezds"/>
        <w:rPr>
          <w:bCs/>
          <w:i/>
          <w:szCs w:val="24"/>
        </w:rPr>
      </w:pPr>
      <w:r>
        <w:rPr>
          <w:bCs/>
          <w:i/>
          <w:szCs w:val="24"/>
        </w:rPr>
        <w:t>b)</w:t>
      </w:r>
      <w:r>
        <w:rPr>
          <w:bCs/>
          <w:szCs w:val="24"/>
        </w:rPr>
        <w:t xml:space="preserve"> jogtalanul kihelyez, vagy eltávolít;</w:t>
      </w:r>
    </w:p>
    <w:p w:rsidR="005C7B33" w:rsidRDefault="005C7B33" w:rsidP="005C7B33">
      <w:pPr>
        <w:pStyle w:val="Bekezds"/>
        <w:rPr>
          <w:bCs/>
          <w:i/>
          <w:szCs w:val="24"/>
        </w:rPr>
      </w:pPr>
      <w:r>
        <w:rPr>
          <w:bCs/>
          <w:i/>
          <w:szCs w:val="24"/>
        </w:rPr>
        <w:t>c)</w:t>
      </w:r>
      <w:r>
        <w:rPr>
          <w:bCs/>
          <w:szCs w:val="24"/>
        </w:rPr>
        <w:t xml:space="preserve"> utcanév, vagy házszámváltozás esetén a régi házszámtáblát 1 éven túl kihelyezve tartja;</w:t>
      </w:r>
    </w:p>
    <w:p w:rsidR="005C7B33" w:rsidRDefault="005C7B33" w:rsidP="005C7B33">
      <w:pPr>
        <w:pStyle w:val="Bekezds"/>
        <w:rPr>
          <w:bCs/>
          <w:szCs w:val="24"/>
        </w:rPr>
      </w:pPr>
      <w:r>
        <w:rPr>
          <w:bCs/>
          <w:i/>
          <w:szCs w:val="24"/>
        </w:rPr>
        <w:lastRenderedPageBreak/>
        <w:t>d)</w:t>
      </w:r>
      <w:r>
        <w:rPr>
          <w:bCs/>
          <w:szCs w:val="24"/>
        </w:rPr>
        <w:t xml:space="preserve"> az utcanévtábla kihelyezését megakadályozza, tiltott közösségellenes magatartást valósít meg és 150 000 Ft-ig terjedő közigazgatási bírsággal sújtható.</w:t>
      </w:r>
    </w:p>
    <w:p w:rsidR="005C7B33" w:rsidRDefault="005C7B33" w:rsidP="005C7B33">
      <w:pPr>
        <w:pStyle w:val="FejezetCm"/>
        <w:rPr>
          <w:szCs w:val="24"/>
        </w:rPr>
      </w:pPr>
      <w:r>
        <w:rPr>
          <w:szCs w:val="24"/>
        </w:rPr>
        <w:t>V. Vegyes rendelkezések</w:t>
      </w:r>
    </w:p>
    <w:p w:rsidR="005C7B33" w:rsidRDefault="005C7B33" w:rsidP="005C7B33">
      <w:pPr>
        <w:pStyle w:val="Bekezds"/>
        <w:rPr>
          <w:szCs w:val="24"/>
        </w:rPr>
      </w:pPr>
      <w:r>
        <w:rPr>
          <w:b/>
          <w:bCs/>
          <w:szCs w:val="24"/>
        </w:rPr>
        <w:t xml:space="preserve">10. § </w:t>
      </w:r>
      <w:r>
        <w:rPr>
          <w:szCs w:val="24"/>
        </w:rPr>
        <w:t>(1) Ez a rendelet 2015. február 15-én lép hatályba.</w:t>
      </w:r>
    </w:p>
    <w:p w:rsidR="005C7B33" w:rsidRDefault="005C7B33" w:rsidP="005C7B33">
      <w:pPr>
        <w:pStyle w:val="Bekezds"/>
        <w:spacing w:after="240"/>
        <w:ind w:firstLine="0"/>
        <w:rPr>
          <w:szCs w:val="24"/>
        </w:rPr>
      </w:pPr>
      <w:r>
        <w:rPr>
          <w:szCs w:val="24"/>
        </w:rPr>
        <w:t>(2) E rendelet 3. § és 5–7. §</w:t>
      </w:r>
      <w:r>
        <w:rPr>
          <w:szCs w:val="24"/>
        </w:rPr>
        <w:noBreakHyphen/>
        <w:t>ainak rendelkezései a rendelet hatálybalépésekor már meglevő közterületek házszámozását nem érintik.</w:t>
      </w:r>
      <w:bookmarkStart w:id="0" w:name="temp23"/>
      <w:r>
        <w:rPr>
          <w:szCs w:val="24"/>
        </w:rPr>
        <w:t xml:space="preserve"> </w:t>
      </w:r>
      <w:bookmarkEnd w:id="0"/>
    </w:p>
    <w:p w:rsidR="005C7B33" w:rsidRPr="00AD696D" w:rsidRDefault="005C7B33" w:rsidP="005C7B33">
      <w:pPr>
        <w:pStyle w:val="Bekezds"/>
        <w:spacing w:after="240"/>
        <w:ind w:firstLine="0"/>
        <w:rPr>
          <w:b/>
          <w:szCs w:val="24"/>
        </w:rPr>
      </w:pPr>
      <w:r>
        <w:rPr>
          <w:b/>
          <w:szCs w:val="24"/>
        </w:rPr>
        <w:t>Hencida, 2015. 02. 05.</w:t>
      </w:r>
    </w:p>
    <w:p w:rsidR="005C7B33" w:rsidRDefault="005C7B33" w:rsidP="005C7B33">
      <w:pPr>
        <w:pStyle w:val="Bekezds"/>
        <w:spacing w:after="240"/>
        <w:ind w:firstLine="0"/>
        <w:rPr>
          <w:szCs w:val="24"/>
        </w:rPr>
      </w:pPr>
    </w:p>
    <w:p w:rsidR="005C7B33" w:rsidRPr="00E37471" w:rsidRDefault="005C7B33" w:rsidP="005C7B33">
      <w:pPr>
        <w:pStyle w:val="Bekezds"/>
        <w:ind w:firstLine="0"/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E37471">
        <w:rPr>
          <w:b/>
          <w:szCs w:val="24"/>
        </w:rPr>
        <w:t>Szémán László</w:t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  <w:t>Dr. Karancsi-Vámosi Margit</w:t>
      </w:r>
    </w:p>
    <w:p w:rsidR="005C7B33" w:rsidRPr="00E37471" w:rsidRDefault="005C7B33" w:rsidP="005C7B33">
      <w:pPr>
        <w:pStyle w:val="Bekezds"/>
        <w:ind w:firstLine="0"/>
        <w:rPr>
          <w:b/>
          <w:szCs w:val="24"/>
        </w:rPr>
      </w:pP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  <w:t xml:space="preserve"> polgármester</w:t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</w:r>
      <w:r w:rsidRPr="00E37471">
        <w:rPr>
          <w:b/>
          <w:szCs w:val="24"/>
        </w:rPr>
        <w:tab/>
        <w:t xml:space="preserve">      jegyző</w:t>
      </w:r>
    </w:p>
    <w:tbl>
      <w:tblPr>
        <w:tblW w:w="9639" w:type="dxa"/>
        <w:tblCellMar>
          <w:left w:w="0" w:type="dxa"/>
          <w:right w:w="0" w:type="dxa"/>
        </w:tblCellMar>
        <w:tblLook w:val="04A0"/>
      </w:tblPr>
      <w:tblGrid>
        <w:gridCol w:w="4751"/>
        <w:gridCol w:w="4888"/>
      </w:tblGrid>
      <w:tr w:rsidR="005C7B33" w:rsidTr="0061253E">
        <w:tc>
          <w:tcPr>
            <w:tcW w:w="4751" w:type="dxa"/>
          </w:tcPr>
          <w:p w:rsidR="005C7B33" w:rsidRDefault="005C7B33" w:rsidP="0061253E">
            <w:pPr>
              <w:keepLines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888" w:type="dxa"/>
          </w:tcPr>
          <w:p w:rsidR="005C7B33" w:rsidRDefault="005C7B33" w:rsidP="0061253E">
            <w:pPr>
              <w:keepLines/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5C7B33" w:rsidRDefault="005C7B33" w:rsidP="005C7B33">
      <w:pPr>
        <w:rPr>
          <w:lang w:eastAsia="en-US"/>
        </w:rPr>
      </w:pPr>
    </w:p>
    <w:p w:rsidR="005C7B33" w:rsidRPr="00E1717B" w:rsidRDefault="005C7B33" w:rsidP="005C7B33">
      <w:pPr>
        <w:jc w:val="center"/>
        <w:rPr>
          <w:b/>
          <w:u w:val="single"/>
        </w:rPr>
      </w:pPr>
    </w:p>
    <w:p w:rsidR="005C7B33" w:rsidRPr="00A77CED" w:rsidRDefault="005C7B33" w:rsidP="005C7B33"/>
    <w:p w:rsidR="005C7B33" w:rsidRDefault="005C7B33" w:rsidP="005C7B33">
      <w:pPr>
        <w:rPr>
          <w:b/>
          <w:bCs/>
          <w:sz w:val="20"/>
          <w:szCs w:val="20"/>
        </w:rPr>
      </w:pPr>
      <w:r w:rsidRPr="00CE704E">
        <w:rPr>
          <w:b/>
          <w:bCs/>
          <w:sz w:val="20"/>
          <w:szCs w:val="20"/>
        </w:rPr>
        <w:t>Kihirdetési záradék:</w:t>
      </w:r>
    </w:p>
    <w:p w:rsidR="005C7B33" w:rsidRPr="00CE704E" w:rsidRDefault="005C7B33" w:rsidP="005C7B33">
      <w:pPr>
        <w:rPr>
          <w:b/>
          <w:bCs/>
          <w:sz w:val="20"/>
          <w:szCs w:val="20"/>
        </w:rPr>
      </w:pPr>
      <w:r w:rsidRPr="00CE704E">
        <w:rPr>
          <w:b/>
          <w:bCs/>
          <w:sz w:val="20"/>
          <w:szCs w:val="20"/>
        </w:rPr>
        <w:t>Önkormányzat</w:t>
      </w:r>
      <w:r>
        <w:rPr>
          <w:b/>
          <w:bCs/>
          <w:sz w:val="20"/>
          <w:szCs w:val="20"/>
        </w:rPr>
        <w:t>i</w:t>
      </w:r>
      <w:r w:rsidRPr="00CE704E">
        <w:rPr>
          <w:b/>
          <w:bCs/>
          <w:sz w:val="20"/>
          <w:szCs w:val="20"/>
        </w:rPr>
        <w:t xml:space="preserve"> Hivatal </w:t>
      </w:r>
    </w:p>
    <w:p w:rsidR="005C7B33" w:rsidRPr="00CE704E" w:rsidRDefault="005C7B33" w:rsidP="005C7B33">
      <w:pPr>
        <w:rPr>
          <w:b/>
          <w:bCs/>
          <w:sz w:val="20"/>
          <w:szCs w:val="20"/>
        </w:rPr>
      </w:pPr>
      <w:r w:rsidRPr="00CE704E">
        <w:rPr>
          <w:b/>
          <w:bCs/>
          <w:sz w:val="20"/>
          <w:szCs w:val="20"/>
        </w:rPr>
        <w:t>hirdetőtábláján való kihelyezéssel</w:t>
      </w:r>
    </w:p>
    <w:p w:rsidR="005C7B33" w:rsidRPr="00CE704E" w:rsidRDefault="005C7B33" w:rsidP="005C7B3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Hencida, 2015.02.05.</w:t>
      </w:r>
    </w:p>
    <w:p w:rsidR="005C7B33" w:rsidRPr="00CE704E" w:rsidRDefault="005C7B33" w:rsidP="005C7B33">
      <w:pPr>
        <w:ind w:firstLine="70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D</w:t>
      </w:r>
      <w:r w:rsidRPr="00CE704E">
        <w:rPr>
          <w:b/>
          <w:bCs/>
          <w:sz w:val="20"/>
          <w:szCs w:val="20"/>
        </w:rPr>
        <w:t>r. Karancsi-Vámosi Margit</w:t>
      </w:r>
    </w:p>
    <w:p w:rsidR="005C7B33" w:rsidRDefault="005C7B33" w:rsidP="005C7B33">
      <w:pPr>
        <w:jc w:val="both"/>
        <w:rPr>
          <w:b/>
          <w:bCs/>
        </w:rPr>
      </w:pP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 w:rsidRPr="00CE704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</w:t>
      </w:r>
      <w:r w:rsidRPr="00CE704E">
        <w:rPr>
          <w:b/>
          <w:bCs/>
          <w:sz w:val="20"/>
          <w:szCs w:val="20"/>
        </w:rPr>
        <w:t>jegyző</w:t>
      </w:r>
      <w:r>
        <w:rPr>
          <w:b/>
          <w:bCs/>
        </w:rPr>
        <w:tab/>
      </w:r>
    </w:p>
    <w:p w:rsidR="001B1FF0" w:rsidRDefault="001B1FF0"/>
    <w:sectPr w:rsidR="001B1FF0" w:rsidSect="004D2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8634C"/>
    <w:rsid w:val="000718A4"/>
    <w:rsid w:val="001B1FF0"/>
    <w:rsid w:val="001C1515"/>
    <w:rsid w:val="00217759"/>
    <w:rsid w:val="004D24B1"/>
    <w:rsid w:val="005C7B33"/>
    <w:rsid w:val="00C4718E"/>
    <w:rsid w:val="00E86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7B33"/>
    <w:pPr>
      <w:spacing w:after="0" w:line="240" w:lineRule="auto"/>
    </w:pPr>
    <w:rPr>
      <w:rFonts w:eastAsia="Times New Roman" w:cs="Times New Roman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basedOn w:val="Norml"/>
    <w:rsid w:val="005C7B33"/>
    <w:pPr>
      <w:keepLines/>
      <w:ind w:firstLine="202"/>
      <w:jc w:val="both"/>
    </w:pPr>
    <w:rPr>
      <w:szCs w:val="20"/>
      <w:lang w:eastAsia="en-US"/>
    </w:rPr>
  </w:style>
  <w:style w:type="paragraph" w:customStyle="1" w:styleId="FejezetCm">
    <w:name w:val="FejezetCím"/>
    <w:basedOn w:val="Norml"/>
    <w:rsid w:val="005C7B33"/>
    <w:pPr>
      <w:keepNext/>
      <w:keepLines/>
      <w:spacing w:before="480" w:after="240"/>
      <w:jc w:val="center"/>
    </w:pPr>
    <w:rPr>
      <w:b/>
      <w:i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1303</Words>
  <Characters>8994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Titkarsag</cp:lastModifiedBy>
  <cp:revision>2</cp:revision>
  <dcterms:created xsi:type="dcterms:W3CDTF">2023-03-16T10:47:00Z</dcterms:created>
  <dcterms:modified xsi:type="dcterms:W3CDTF">2023-03-16T10:47:00Z</dcterms:modified>
</cp:coreProperties>
</file>